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7C6FF" w14:textId="77777777" w:rsidR="00CC1EC5" w:rsidRPr="006403CB" w:rsidRDefault="00CC1EC5" w:rsidP="00CC1EC5">
      <w:pPr>
        <w:spacing w:before="120" w:line="276" w:lineRule="auto"/>
        <w:ind w:firstLine="357"/>
        <w:jc w:val="center"/>
        <w:rPr>
          <w:rFonts w:asciiTheme="majorHAnsi" w:hAnsiTheme="majorHAnsi" w:cs="Arial"/>
          <w:lang w:val="en-GB"/>
        </w:rPr>
      </w:pPr>
      <w:r w:rsidRPr="006403CB">
        <w:rPr>
          <w:rFonts w:asciiTheme="majorHAnsi" w:hAnsiTheme="majorHAnsi" w:cs="Arial"/>
          <w:b/>
          <w:lang w:val="en-GB"/>
        </w:rPr>
        <w:t>COURSE OUTLINE</w:t>
      </w:r>
    </w:p>
    <w:p w14:paraId="2A69F21D"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GENERAL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05"/>
        <w:gridCol w:w="1197"/>
        <w:gridCol w:w="1297"/>
        <w:gridCol w:w="1208"/>
        <w:gridCol w:w="351"/>
        <w:gridCol w:w="1240"/>
      </w:tblGrid>
      <w:tr w:rsidR="00CC1EC5" w:rsidRPr="006403CB" w14:paraId="4F6CD287" w14:textId="77777777" w:rsidTr="000223E6">
        <w:tc>
          <w:tcPr>
            <w:tcW w:w="3205" w:type="dxa"/>
            <w:shd w:val="clear" w:color="auto" w:fill="D0CECE" w:themeFill="background2" w:themeFillShade="E6"/>
          </w:tcPr>
          <w:p w14:paraId="3D7A155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SCHOOL</w:t>
            </w:r>
          </w:p>
        </w:tc>
        <w:tc>
          <w:tcPr>
            <w:tcW w:w="5293" w:type="dxa"/>
            <w:gridSpan w:val="5"/>
          </w:tcPr>
          <w:p w14:paraId="0F912CB5"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SCHOOL OF ENGINEERING</w:t>
            </w:r>
          </w:p>
        </w:tc>
      </w:tr>
      <w:tr w:rsidR="00CC1EC5" w:rsidRPr="006403CB" w14:paraId="07F228AE" w14:textId="77777777" w:rsidTr="000223E6">
        <w:tc>
          <w:tcPr>
            <w:tcW w:w="3205" w:type="dxa"/>
            <w:shd w:val="clear" w:color="auto" w:fill="D0CECE" w:themeFill="background2" w:themeFillShade="E6"/>
          </w:tcPr>
          <w:p w14:paraId="1CD5566B"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ACADEMIC UNIT</w:t>
            </w:r>
          </w:p>
        </w:tc>
        <w:tc>
          <w:tcPr>
            <w:tcW w:w="5293" w:type="dxa"/>
            <w:gridSpan w:val="5"/>
          </w:tcPr>
          <w:p w14:paraId="3F610463" w14:textId="77777777" w:rsidR="00CC1EC5" w:rsidRPr="009069AF" w:rsidRDefault="00072F35" w:rsidP="00E30CBA">
            <w:pPr>
              <w:rPr>
                <w:rFonts w:asciiTheme="minorHAnsi" w:hAnsiTheme="minorHAnsi" w:cstheme="minorHAnsi"/>
                <w:color w:val="002060"/>
                <w:lang w:val="en-GB"/>
              </w:rPr>
            </w:pPr>
            <w:r w:rsidRPr="009069AF">
              <w:rPr>
                <w:rFonts w:asciiTheme="minorHAnsi" w:hAnsiTheme="minorHAnsi" w:cstheme="minorHAnsi"/>
                <w:color w:val="002060"/>
                <w:sz w:val="22"/>
                <w:szCs w:val="22"/>
                <w:lang w:val="en-GB"/>
              </w:rPr>
              <w:t xml:space="preserve">DEPARTMENT OF CIVIL ENGINEERING </w:t>
            </w:r>
          </w:p>
        </w:tc>
      </w:tr>
      <w:tr w:rsidR="000223E6" w:rsidRPr="006403CB" w14:paraId="2B0B3BF4" w14:textId="77777777" w:rsidTr="000223E6">
        <w:tc>
          <w:tcPr>
            <w:tcW w:w="3205" w:type="dxa"/>
            <w:shd w:val="clear" w:color="auto" w:fill="D0CECE" w:themeFill="background2" w:themeFillShade="E6"/>
          </w:tcPr>
          <w:p w14:paraId="700F3F19" w14:textId="77777777" w:rsidR="000223E6" w:rsidRPr="006403CB" w:rsidRDefault="000223E6" w:rsidP="00E30CBA">
            <w:pPr>
              <w:jc w:val="right"/>
              <w:rPr>
                <w:rFonts w:asciiTheme="majorHAnsi" w:hAnsiTheme="majorHAnsi" w:cs="Arial"/>
                <w:b/>
                <w:sz w:val="20"/>
                <w:szCs w:val="20"/>
                <w:lang w:val="en-GB"/>
              </w:rPr>
            </w:pPr>
          </w:p>
        </w:tc>
        <w:tc>
          <w:tcPr>
            <w:tcW w:w="5293" w:type="dxa"/>
            <w:gridSpan w:val="5"/>
          </w:tcPr>
          <w:p w14:paraId="13F4A283" w14:textId="77777777" w:rsidR="000223E6"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UNIVERSITY OF PATRAS</w:t>
            </w:r>
          </w:p>
        </w:tc>
      </w:tr>
      <w:tr w:rsidR="000223E6" w:rsidRPr="006403CB" w14:paraId="09AEC9C0" w14:textId="77777777" w:rsidTr="000223E6">
        <w:tc>
          <w:tcPr>
            <w:tcW w:w="3205" w:type="dxa"/>
            <w:shd w:val="clear" w:color="auto" w:fill="D0CECE" w:themeFill="background2" w:themeFillShade="E6"/>
          </w:tcPr>
          <w:p w14:paraId="6907DA9A" w14:textId="77777777" w:rsidR="000223E6" w:rsidRPr="006403CB" w:rsidRDefault="000223E6" w:rsidP="00E30CBA">
            <w:pPr>
              <w:jc w:val="right"/>
              <w:rPr>
                <w:rFonts w:asciiTheme="majorHAnsi" w:hAnsiTheme="majorHAnsi" w:cs="Arial"/>
                <w:b/>
                <w:sz w:val="20"/>
                <w:szCs w:val="20"/>
                <w:lang w:val="en-GB"/>
              </w:rPr>
            </w:pPr>
            <w:r w:rsidRPr="000223E6">
              <w:rPr>
                <w:rFonts w:asciiTheme="majorHAnsi" w:hAnsiTheme="majorHAnsi" w:cs="Arial"/>
                <w:b/>
                <w:sz w:val="20"/>
                <w:szCs w:val="20"/>
                <w:lang w:val="en-GB"/>
              </w:rPr>
              <w:t>POSTGRADUATE PROGRAM</w:t>
            </w:r>
            <w:r>
              <w:rPr>
                <w:rFonts w:asciiTheme="majorHAnsi" w:hAnsiTheme="majorHAnsi" w:cs="Arial"/>
                <w:b/>
                <w:sz w:val="20"/>
                <w:szCs w:val="20"/>
                <w:lang w:val="en-GB"/>
              </w:rPr>
              <w:t>: TITLE</w:t>
            </w:r>
          </w:p>
        </w:tc>
        <w:tc>
          <w:tcPr>
            <w:tcW w:w="5293" w:type="dxa"/>
            <w:gridSpan w:val="5"/>
          </w:tcPr>
          <w:p w14:paraId="6D5A336A"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Master’s Degree "Design of Resilient, Sustainable and Intelligent Infrastructures". </w:t>
            </w:r>
          </w:p>
          <w:p w14:paraId="387351CF"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Tracks:</w:t>
            </w:r>
          </w:p>
          <w:p w14:paraId="3B16460B"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(A) Resilient Materials, Structures and Geotechnical Infrastructures,</w:t>
            </w:r>
          </w:p>
          <w:p w14:paraId="6089F7A6" w14:textId="77777777" w:rsidR="00E818CC" w:rsidRPr="00E818CC" w:rsidRDefault="00E818CC" w:rsidP="00E818CC">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 xml:space="preserve">(B) Hydraulic and Environmental Engineering for Sustainable Infrastructures, and </w:t>
            </w:r>
          </w:p>
          <w:p w14:paraId="05697794" w14:textId="2955B8DA" w:rsidR="00E236DB" w:rsidRDefault="00E818CC" w:rsidP="00E236DB">
            <w:pPr>
              <w:rPr>
                <w:rFonts w:asciiTheme="minorHAnsi" w:hAnsiTheme="minorHAnsi" w:cstheme="minorHAnsi"/>
                <w:color w:val="002060"/>
                <w:lang w:val="en-GB"/>
              </w:rPr>
            </w:pPr>
            <w:r w:rsidRPr="00E818CC">
              <w:rPr>
                <w:rFonts w:asciiTheme="minorHAnsi" w:hAnsiTheme="minorHAnsi" w:cstheme="minorHAnsi"/>
                <w:color w:val="002060"/>
                <w:sz w:val="22"/>
                <w:szCs w:val="22"/>
                <w:lang w:val="en-GB"/>
              </w:rPr>
              <w:t>(C) Intelligent Systems in Transportation and Construction Project Management</w:t>
            </w:r>
          </w:p>
          <w:p w14:paraId="3A1D1B58" w14:textId="7D404D93" w:rsidR="000223E6" w:rsidRDefault="000223E6" w:rsidP="00E818CC">
            <w:pPr>
              <w:rPr>
                <w:rFonts w:asciiTheme="minorHAnsi" w:hAnsiTheme="minorHAnsi" w:cstheme="minorHAnsi"/>
                <w:color w:val="002060"/>
                <w:lang w:val="en-GB"/>
              </w:rPr>
            </w:pPr>
          </w:p>
        </w:tc>
      </w:tr>
      <w:tr w:rsidR="00CC1EC5" w:rsidRPr="006403CB" w14:paraId="6FAB36E2" w14:textId="77777777" w:rsidTr="000223E6">
        <w:tc>
          <w:tcPr>
            <w:tcW w:w="3205" w:type="dxa"/>
            <w:shd w:val="clear" w:color="auto" w:fill="D0CECE" w:themeFill="background2" w:themeFillShade="E6"/>
          </w:tcPr>
          <w:p w14:paraId="117E88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LEVEL OF STUDIES</w:t>
            </w:r>
          </w:p>
        </w:tc>
        <w:tc>
          <w:tcPr>
            <w:tcW w:w="5293" w:type="dxa"/>
            <w:gridSpan w:val="5"/>
          </w:tcPr>
          <w:p w14:paraId="3E557661" w14:textId="77777777" w:rsidR="00CC1EC5" w:rsidRPr="009069AF" w:rsidRDefault="000223E6" w:rsidP="00E30CBA">
            <w:pPr>
              <w:rPr>
                <w:rFonts w:asciiTheme="minorHAnsi" w:hAnsiTheme="minorHAnsi" w:cstheme="minorHAnsi"/>
                <w:color w:val="002060"/>
                <w:lang w:val="en-GB"/>
              </w:rPr>
            </w:pPr>
            <w:r>
              <w:rPr>
                <w:rFonts w:asciiTheme="minorHAnsi" w:hAnsiTheme="minorHAnsi" w:cstheme="minorHAnsi"/>
                <w:color w:val="002060"/>
                <w:sz w:val="22"/>
                <w:szCs w:val="22"/>
                <w:lang w:val="en-GB"/>
              </w:rPr>
              <w:t>POST</w:t>
            </w:r>
            <w:r w:rsidR="00072F35" w:rsidRPr="009069AF">
              <w:rPr>
                <w:rFonts w:asciiTheme="minorHAnsi" w:hAnsiTheme="minorHAnsi" w:cstheme="minorHAnsi"/>
                <w:color w:val="002060"/>
                <w:sz w:val="22"/>
                <w:szCs w:val="22"/>
                <w:lang w:val="en-GB"/>
              </w:rPr>
              <w:t>GRADUATE</w:t>
            </w:r>
            <w:r>
              <w:rPr>
                <w:rFonts w:asciiTheme="minorHAnsi" w:hAnsiTheme="minorHAnsi" w:cstheme="minorHAnsi"/>
                <w:color w:val="002060"/>
                <w:sz w:val="22"/>
                <w:szCs w:val="22"/>
                <w:lang w:val="en-GB"/>
              </w:rPr>
              <w:t xml:space="preserve"> PROGRAM</w:t>
            </w:r>
          </w:p>
        </w:tc>
      </w:tr>
      <w:tr w:rsidR="00CC1EC5" w:rsidRPr="006403CB" w14:paraId="628EF9A6" w14:textId="77777777" w:rsidTr="00AF405A">
        <w:tc>
          <w:tcPr>
            <w:tcW w:w="3205" w:type="dxa"/>
            <w:shd w:val="clear" w:color="auto" w:fill="D0CECE" w:themeFill="background2" w:themeFillShade="E6"/>
          </w:tcPr>
          <w:p w14:paraId="16657F87"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CODE</w:t>
            </w:r>
          </w:p>
        </w:tc>
        <w:tc>
          <w:tcPr>
            <w:tcW w:w="1197" w:type="dxa"/>
            <w:vAlign w:val="center"/>
          </w:tcPr>
          <w:p w14:paraId="4EDA2899" w14:textId="7EC388F1" w:rsidR="00CC1EC5" w:rsidRPr="00AF405A" w:rsidRDefault="00AF405A" w:rsidP="00AF405A">
            <w:pPr>
              <w:jc w:val="center"/>
              <w:rPr>
                <w:rFonts w:asciiTheme="minorHAnsi" w:hAnsiTheme="minorHAnsi" w:cstheme="minorHAnsi"/>
                <w:lang w:val="en-GB"/>
              </w:rPr>
            </w:pPr>
            <w:r w:rsidRPr="00AF405A">
              <w:rPr>
                <w:rFonts w:asciiTheme="minorHAnsi" w:hAnsiTheme="minorHAnsi" w:cstheme="minorHAnsi"/>
                <w:b/>
                <w:sz w:val="22"/>
                <w:szCs w:val="22"/>
                <w:lang w:val="el-GR"/>
              </w:rPr>
              <w:t>Α16015</w:t>
            </w:r>
          </w:p>
        </w:tc>
        <w:tc>
          <w:tcPr>
            <w:tcW w:w="2505" w:type="dxa"/>
            <w:gridSpan w:val="2"/>
            <w:shd w:val="clear" w:color="auto" w:fill="D0CECE" w:themeFill="background2" w:themeFillShade="E6"/>
          </w:tcPr>
          <w:p w14:paraId="22544528"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SEMESTER</w:t>
            </w:r>
          </w:p>
        </w:tc>
        <w:tc>
          <w:tcPr>
            <w:tcW w:w="1591" w:type="dxa"/>
            <w:gridSpan w:val="2"/>
          </w:tcPr>
          <w:p w14:paraId="15EDE5A0" w14:textId="57DE77E9" w:rsidR="00CC1EC5" w:rsidRPr="00632713" w:rsidRDefault="00AF405A" w:rsidP="00B540EB">
            <w:pPr>
              <w:jc w:val="center"/>
              <w:rPr>
                <w:rFonts w:asciiTheme="minorHAnsi" w:hAnsiTheme="minorHAnsi" w:cstheme="minorHAnsi"/>
                <w:lang w:val="en-GB"/>
              </w:rPr>
            </w:pPr>
            <w:r>
              <w:rPr>
                <w:rFonts w:asciiTheme="minorHAnsi" w:hAnsiTheme="minorHAnsi" w:cstheme="minorHAnsi"/>
                <w:lang w:val="en-GB"/>
              </w:rPr>
              <w:t>SPRING</w:t>
            </w:r>
            <w:r w:rsidR="00632713">
              <w:rPr>
                <w:rFonts w:asciiTheme="minorHAnsi" w:hAnsiTheme="minorHAnsi" w:cstheme="minorHAnsi"/>
                <w:lang w:val="en-GB"/>
              </w:rPr>
              <w:t xml:space="preserve"> (</w:t>
            </w:r>
            <w:r>
              <w:rPr>
                <w:rFonts w:asciiTheme="minorHAnsi" w:hAnsiTheme="minorHAnsi" w:cstheme="minorHAnsi"/>
                <w:lang w:val="en-GB"/>
              </w:rPr>
              <w:t>B</w:t>
            </w:r>
            <w:r w:rsidR="00632713">
              <w:rPr>
                <w:rFonts w:asciiTheme="minorHAnsi" w:hAnsiTheme="minorHAnsi" w:cstheme="minorHAnsi"/>
                <w:lang w:val="en-GB"/>
              </w:rPr>
              <w:t>’)</w:t>
            </w:r>
          </w:p>
        </w:tc>
      </w:tr>
      <w:tr w:rsidR="00CC1EC5" w:rsidRPr="006403CB" w14:paraId="386AFDCF" w14:textId="77777777" w:rsidTr="000223E6">
        <w:trPr>
          <w:trHeight w:val="375"/>
        </w:trPr>
        <w:tc>
          <w:tcPr>
            <w:tcW w:w="3205" w:type="dxa"/>
            <w:shd w:val="clear" w:color="auto" w:fill="D0CECE" w:themeFill="background2" w:themeFillShade="E6"/>
            <w:vAlign w:val="center"/>
          </w:tcPr>
          <w:p w14:paraId="220C3CEF"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TITLE</w:t>
            </w:r>
          </w:p>
        </w:tc>
        <w:tc>
          <w:tcPr>
            <w:tcW w:w="5293" w:type="dxa"/>
            <w:gridSpan w:val="5"/>
            <w:vAlign w:val="center"/>
          </w:tcPr>
          <w:p w14:paraId="4A8A5851" w14:textId="427E921A" w:rsidR="00CC1EC5" w:rsidRPr="009069AF" w:rsidRDefault="00AF405A" w:rsidP="00AF405A">
            <w:pPr>
              <w:jc w:val="both"/>
              <w:rPr>
                <w:rFonts w:asciiTheme="minorHAnsi" w:hAnsiTheme="minorHAnsi" w:cstheme="minorHAnsi"/>
                <w:lang w:val="en-GB"/>
              </w:rPr>
            </w:pPr>
            <w:r w:rsidRPr="00AF405A">
              <w:rPr>
                <w:rFonts w:asciiTheme="minorHAnsi" w:hAnsiTheme="minorHAnsi" w:cstheme="minorHAnsi"/>
                <w:bCs/>
                <w:sz w:val="22"/>
                <w:szCs w:val="22"/>
              </w:rPr>
              <w:t>STRUCTURAL ANALYSIS FOR EXTREME ACTIONS</w:t>
            </w:r>
          </w:p>
        </w:tc>
      </w:tr>
      <w:tr w:rsidR="00CC1EC5" w:rsidRPr="006403CB" w14:paraId="5677AF26" w14:textId="77777777" w:rsidTr="000223E6">
        <w:trPr>
          <w:trHeight w:val="196"/>
        </w:trPr>
        <w:tc>
          <w:tcPr>
            <w:tcW w:w="5699" w:type="dxa"/>
            <w:gridSpan w:val="3"/>
            <w:shd w:val="clear" w:color="auto" w:fill="D0CECE" w:themeFill="background2" w:themeFillShade="E6"/>
            <w:vAlign w:val="center"/>
          </w:tcPr>
          <w:p w14:paraId="7B97B4A1"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 xml:space="preserve">INDEPENDENT TEACHING ACTIVITIES </w:t>
            </w:r>
            <w:r w:rsidRPr="006403CB">
              <w:rPr>
                <w:rFonts w:asciiTheme="majorHAnsi" w:hAnsiTheme="majorHAnsi" w:cs="Arial"/>
                <w:b/>
                <w:sz w:val="20"/>
                <w:szCs w:val="20"/>
                <w:lang w:val="en-GB"/>
              </w:rPr>
              <w:br/>
            </w:r>
            <w:r w:rsidRPr="006403CB">
              <w:rPr>
                <w:rFonts w:asciiTheme="majorHAnsi" w:hAnsiTheme="majorHAnsi" w:cs="Arial"/>
                <w:i/>
                <w:sz w:val="18"/>
                <w:szCs w:val="18"/>
                <w:lang w:val="en-GB"/>
              </w:rPr>
              <w:t>if credits are awarded for separate components of the course, e.g. lectures, laboratory exercises, etc. If the credits are awarded for the whole of the course, give the weekly teaching hours and the total credits</w:t>
            </w:r>
          </w:p>
        </w:tc>
        <w:tc>
          <w:tcPr>
            <w:tcW w:w="1559" w:type="dxa"/>
            <w:gridSpan w:val="2"/>
            <w:shd w:val="clear" w:color="auto" w:fill="D0CECE" w:themeFill="background2" w:themeFillShade="E6"/>
            <w:vAlign w:val="center"/>
          </w:tcPr>
          <w:p w14:paraId="05F97AC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WEEKLY TEACHING HOURS</w:t>
            </w:r>
          </w:p>
        </w:tc>
        <w:tc>
          <w:tcPr>
            <w:tcW w:w="1240" w:type="dxa"/>
            <w:shd w:val="clear" w:color="auto" w:fill="D0CECE" w:themeFill="background2" w:themeFillShade="E6"/>
            <w:vAlign w:val="center"/>
          </w:tcPr>
          <w:p w14:paraId="4EE8DD1E" w14:textId="77777777" w:rsidR="00CC1EC5" w:rsidRPr="006403CB" w:rsidRDefault="00CC1EC5" w:rsidP="00E30CBA">
            <w:pPr>
              <w:jc w:val="center"/>
              <w:rPr>
                <w:rFonts w:asciiTheme="majorHAnsi" w:hAnsiTheme="majorHAnsi" w:cs="Arial"/>
                <w:b/>
                <w:sz w:val="20"/>
                <w:szCs w:val="20"/>
                <w:lang w:val="en-GB"/>
              </w:rPr>
            </w:pPr>
            <w:r w:rsidRPr="006403CB">
              <w:rPr>
                <w:rFonts w:asciiTheme="majorHAnsi" w:hAnsiTheme="majorHAnsi" w:cs="Arial"/>
                <w:b/>
                <w:sz w:val="20"/>
                <w:szCs w:val="20"/>
                <w:lang w:val="en-GB"/>
              </w:rPr>
              <w:t>CREDITS</w:t>
            </w:r>
          </w:p>
        </w:tc>
      </w:tr>
      <w:tr w:rsidR="00CC1EC5" w:rsidRPr="006403CB" w14:paraId="4AA8FC0C" w14:textId="77777777" w:rsidTr="000223E6">
        <w:trPr>
          <w:trHeight w:val="194"/>
        </w:trPr>
        <w:tc>
          <w:tcPr>
            <w:tcW w:w="5699" w:type="dxa"/>
            <w:gridSpan w:val="3"/>
          </w:tcPr>
          <w:p w14:paraId="48872A2F" w14:textId="22941962" w:rsidR="00CC1EC5" w:rsidRPr="009069AF" w:rsidRDefault="00CC1EC5" w:rsidP="00456683">
            <w:pPr>
              <w:jc w:val="right"/>
              <w:rPr>
                <w:rFonts w:asciiTheme="minorHAnsi" w:hAnsiTheme="minorHAnsi" w:cstheme="minorHAnsi"/>
                <w:color w:val="002060"/>
                <w:lang w:val="en-GB"/>
              </w:rPr>
            </w:pPr>
          </w:p>
        </w:tc>
        <w:tc>
          <w:tcPr>
            <w:tcW w:w="1559" w:type="dxa"/>
            <w:gridSpan w:val="2"/>
          </w:tcPr>
          <w:p w14:paraId="046A1DB3" w14:textId="0CAB1990" w:rsidR="00CC1EC5" w:rsidRPr="009069AF" w:rsidRDefault="00AF405A" w:rsidP="00E30CBA">
            <w:pPr>
              <w:jc w:val="center"/>
              <w:rPr>
                <w:rFonts w:asciiTheme="minorHAnsi" w:hAnsiTheme="minorHAnsi" w:cstheme="minorHAnsi"/>
                <w:color w:val="002060"/>
                <w:lang w:val="en-GB"/>
              </w:rPr>
            </w:pPr>
            <w:r>
              <w:rPr>
                <w:rFonts w:asciiTheme="minorHAnsi" w:hAnsiTheme="minorHAnsi" w:cstheme="minorHAnsi"/>
                <w:color w:val="002060"/>
                <w:lang w:val="en-GB"/>
              </w:rPr>
              <w:t>3</w:t>
            </w:r>
          </w:p>
        </w:tc>
        <w:tc>
          <w:tcPr>
            <w:tcW w:w="1240" w:type="dxa"/>
          </w:tcPr>
          <w:p w14:paraId="76022095" w14:textId="77777777" w:rsidR="00CC1EC5" w:rsidRPr="00910E45" w:rsidRDefault="00FE10DC" w:rsidP="00E30CBA">
            <w:pPr>
              <w:jc w:val="center"/>
              <w:rPr>
                <w:rFonts w:asciiTheme="minorHAnsi" w:hAnsiTheme="minorHAnsi" w:cstheme="minorHAnsi"/>
                <w:lang w:val="el-GR"/>
              </w:rPr>
            </w:pPr>
            <w:r w:rsidRPr="00910E45">
              <w:rPr>
                <w:rFonts w:asciiTheme="minorHAnsi" w:hAnsiTheme="minorHAnsi" w:cstheme="minorHAnsi"/>
                <w:sz w:val="22"/>
                <w:szCs w:val="22"/>
                <w:lang w:val="en-GB"/>
              </w:rPr>
              <w:t>7.</w:t>
            </w:r>
            <w:r w:rsidR="004156AD" w:rsidRPr="00910E45">
              <w:rPr>
                <w:rFonts w:asciiTheme="minorHAnsi" w:hAnsiTheme="minorHAnsi" w:cstheme="minorHAnsi"/>
                <w:sz w:val="22"/>
                <w:szCs w:val="22"/>
                <w:lang w:val="el-GR"/>
              </w:rPr>
              <w:t>5</w:t>
            </w:r>
          </w:p>
        </w:tc>
      </w:tr>
      <w:tr w:rsidR="00CC1EC5" w:rsidRPr="006403CB" w14:paraId="6D014281" w14:textId="77777777" w:rsidTr="000223E6">
        <w:trPr>
          <w:trHeight w:val="194"/>
        </w:trPr>
        <w:tc>
          <w:tcPr>
            <w:tcW w:w="5699" w:type="dxa"/>
            <w:gridSpan w:val="3"/>
          </w:tcPr>
          <w:p w14:paraId="4FDA4561" w14:textId="77777777" w:rsidR="00CC1EC5" w:rsidRPr="006403CB" w:rsidRDefault="00CC1EC5" w:rsidP="00E30CBA">
            <w:pPr>
              <w:rPr>
                <w:rFonts w:asciiTheme="majorHAnsi" w:hAnsiTheme="majorHAnsi" w:cs="Arial"/>
                <w:b/>
                <w:color w:val="002060"/>
                <w:sz w:val="20"/>
                <w:szCs w:val="20"/>
                <w:lang w:val="en-GB"/>
              </w:rPr>
            </w:pPr>
          </w:p>
        </w:tc>
        <w:tc>
          <w:tcPr>
            <w:tcW w:w="1559" w:type="dxa"/>
            <w:gridSpan w:val="2"/>
          </w:tcPr>
          <w:p w14:paraId="03A47F19"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58AC81ED"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7EC75EF1" w14:textId="77777777" w:rsidTr="000223E6">
        <w:trPr>
          <w:trHeight w:val="194"/>
        </w:trPr>
        <w:tc>
          <w:tcPr>
            <w:tcW w:w="5699" w:type="dxa"/>
            <w:gridSpan w:val="3"/>
            <w:shd w:val="clear" w:color="auto" w:fill="D0CECE" w:themeFill="background2" w:themeFillShade="E6"/>
          </w:tcPr>
          <w:p w14:paraId="64612DCC" w14:textId="77777777" w:rsidR="00CC1EC5" w:rsidRPr="006403CB" w:rsidRDefault="00CC1EC5" w:rsidP="00E30CBA">
            <w:pPr>
              <w:rPr>
                <w:rFonts w:asciiTheme="majorHAnsi" w:hAnsiTheme="majorHAnsi" w:cs="Arial"/>
                <w:i/>
                <w:sz w:val="18"/>
                <w:szCs w:val="18"/>
                <w:lang w:val="en-GB"/>
              </w:rPr>
            </w:pPr>
            <w:r w:rsidRPr="006403CB">
              <w:rPr>
                <w:rFonts w:asciiTheme="majorHAnsi" w:hAnsiTheme="majorHAnsi" w:cs="Arial"/>
                <w:i/>
                <w:sz w:val="18"/>
                <w:szCs w:val="18"/>
                <w:lang w:val="en-GB"/>
              </w:rPr>
              <w:t>Add rows if necessary. The organisation of teaching and the teaching methods used are described in detail at (d).</w:t>
            </w:r>
          </w:p>
        </w:tc>
        <w:tc>
          <w:tcPr>
            <w:tcW w:w="1559" w:type="dxa"/>
            <w:gridSpan w:val="2"/>
          </w:tcPr>
          <w:p w14:paraId="7F26CA57" w14:textId="77777777" w:rsidR="00CC1EC5" w:rsidRPr="00072F35" w:rsidRDefault="00CC1EC5" w:rsidP="00E30CBA">
            <w:pPr>
              <w:jc w:val="right"/>
              <w:rPr>
                <w:rFonts w:asciiTheme="minorHAnsi" w:hAnsiTheme="minorHAnsi" w:cstheme="minorHAnsi"/>
                <w:color w:val="002060"/>
                <w:sz w:val="20"/>
                <w:szCs w:val="20"/>
                <w:lang w:val="en-GB"/>
              </w:rPr>
            </w:pPr>
          </w:p>
        </w:tc>
        <w:tc>
          <w:tcPr>
            <w:tcW w:w="1240" w:type="dxa"/>
          </w:tcPr>
          <w:p w14:paraId="0E2D66A4" w14:textId="77777777" w:rsidR="00CC1EC5" w:rsidRPr="00072F35" w:rsidRDefault="00CC1EC5" w:rsidP="00E30CBA">
            <w:pPr>
              <w:rPr>
                <w:rFonts w:asciiTheme="minorHAnsi" w:hAnsiTheme="minorHAnsi" w:cstheme="minorHAnsi"/>
                <w:color w:val="002060"/>
                <w:sz w:val="20"/>
                <w:szCs w:val="20"/>
                <w:lang w:val="en-GB"/>
              </w:rPr>
            </w:pPr>
          </w:p>
        </w:tc>
      </w:tr>
      <w:tr w:rsidR="00CC1EC5" w:rsidRPr="006403CB" w14:paraId="1485419F" w14:textId="77777777" w:rsidTr="00AF405A">
        <w:trPr>
          <w:trHeight w:val="599"/>
        </w:trPr>
        <w:tc>
          <w:tcPr>
            <w:tcW w:w="3205" w:type="dxa"/>
            <w:shd w:val="clear" w:color="auto" w:fill="D0CECE" w:themeFill="background2" w:themeFillShade="E6"/>
          </w:tcPr>
          <w:p w14:paraId="41923AB0"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COURSE TYPE</w:t>
            </w:r>
            <w:r w:rsidRPr="006403CB">
              <w:rPr>
                <w:rFonts w:asciiTheme="majorHAnsi" w:hAnsiTheme="majorHAnsi" w:cs="Arial"/>
                <w:i/>
                <w:sz w:val="16"/>
                <w:szCs w:val="16"/>
                <w:lang w:val="en-GB"/>
              </w:rPr>
              <w:t xml:space="preserve"> </w:t>
            </w:r>
          </w:p>
          <w:p w14:paraId="21E24496"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i/>
                <w:sz w:val="16"/>
                <w:szCs w:val="16"/>
                <w:lang w:val="en-GB"/>
              </w:rPr>
              <w:t xml:space="preserve">general background, </w:t>
            </w:r>
            <w:r w:rsidRPr="006403CB">
              <w:rPr>
                <w:rFonts w:asciiTheme="majorHAnsi" w:hAnsiTheme="majorHAnsi" w:cs="Arial"/>
                <w:i/>
                <w:sz w:val="16"/>
                <w:szCs w:val="16"/>
                <w:lang w:val="en-GB"/>
              </w:rPr>
              <w:br/>
              <w:t>special background, specialised general knowledge, skills development</w:t>
            </w:r>
          </w:p>
        </w:tc>
        <w:tc>
          <w:tcPr>
            <w:tcW w:w="5293" w:type="dxa"/>
            <w:gridSpan w:val="5"/>
            <w:vAlign w:val="center"/>
          </w:tcPr>
          <w:p w14:paraId="006DEF62" w14:textId="628799C3" w:rsidR="00CC1EC5" w:rsidRPr="00B540EB" w:rsidRDefault="005B2E4C" w:rsidP="00E30CBA">
            <w:pPr>
              <w:rPr>
                <w:rFonts w:asciiTheme="minorHAnsi" w:hAnsiTheme="minorHAnsi" w:cstheme="minorHAnsi"/>
                <w:iCs/>
                <w:color w:val="002060"/>
                <w:lang w:val="en-GB"/>
              </w:rPr>
            </w:pPr>
            <w:r w:rsidRPr="00B540EB">
              <w:rPr>
                <w:rFonts w:asciiTheme="minorHAnsi" w:hAnsiTheme="minorHAnsi" w:cstheme="minorHAnsi"/>
                <w:iCs/>
                <w:sz w:val="22"/>
                <w:szCs w:val="22"/>
              </w:rPr>
              <w:t>S</w:t>
            </w:r>
            <w:r w:rsidR="00AF405A" w:rsidRPr="00B540EB">
              <w:rPr>
                <w:rFonts w:asciiTheme="minorHAnsi" w:hAnsiTheme="minorHAnsi" w:cstheme="minorHAnsi"/>
                <w:iCs/>
                <w:sz w:val="22"/>
                <w:szCs w:val="22"/>
                <w:lang w:val="en-GB"/>
              </w:rPr>
              <w:t>pecialised general knowledge</w:t>
            </w:r>
          </w:p>
        </w:tc>
      </w:tr>
      <w:tr w:rsidR="00CC1EC5" w:rsidRPr="00AF405A" w14:paraId="4252FE01" w14:textId="77777777" w:rsidTr="000223E6">
        <w:tc>
          <w:tcPr>
            <w:tcW w:w="3205" w:type="dxa"/>
            <w:shd w:val="clear" w:color="auto" w:fill="D0CECE" w:themeFill="background2" w:themeFillShade="E6"/>
          </w:tcPr>
          <w:p w14:paraId="57331B05"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PREREQUISITE COURSES:</w:t>
            </w:r>
          </w:p>
          <w:p w14:paraId="5EA0853D" w14:textId="77777777" w:rsidR="00CC1EC5" w:rsidRPr="006403CB" w:rsidRDefault="00CC1EC5" w:rsidP="00E30CBA">
            <w:pPr>
              <w:jc w:val="right"/>
              <w:rPr>
                <w:rFonts w:asciiTheme="majorHAnsi" w:hAnsiTheme="majorHAnsi" w:cs="Arial"/>
                <w:b/>
                <w:sz w:val="20"/>
                <w:szCs w:val="20"/>
                <w:lang w:val="en-GB"/>
              </w:rPr>
            </w:pPr>
          </w:p>
        </w:tc>
        <w:tc>
          <w:tcPr>
            <w:tcW w:w="5293" w:type="dxa"/>
            <w:gridSpan w:val="5"/>
          </w:tcPr>
          <w:p w14:paraId="18F1DFFC" w14:textId="60C5CED7" w:rsidR="00AF405A" w:rsidRPr="00B540EB" w:rsidRDefault="00AF405A" w:rsidP="00AF405A">
            <w:pPr>
              <w:autoSpaceDE w:val="0"/>
              <w:autoSpaceDN w:val="0"/>
              <w:adjustRightInd w:val="0"/>
              <w:rPr>
                <w:rFonts w:asciiTheme="minorHAnsi" w:hAnsiTheme="minorHAnsi" w:cstheme="minorHAnsi"/>
                <w:lang w:eastAsia="el-GR"/>
              </w:rPr>
            </w:pPr>
            <w:r w:rsidRPr="00783411">
              <w:rPr>
                <w:rFonts w:asciiTheme="minorHAnsi" w:hAnsiTheme="minorHAnsi" w:cstheme="minorHAnsi"/>
                <w:sz w:val="22"/>
                <w:szCs w:val="22"/>
                <w:lang w:eastAsia="el-GR"/>
              </w:rPr>
              <w:t>Undergraduate</w:t>
            </w:r>
            <w:r w:rsidRPr="00B540EB">
              <w:rPr>
                <w:rFonts w:asciiTheme="minorHAnsi" w:hAnsiTheme="minorHAnsi" w:cstheme="minorHAnsi"/>
                <w:sz w:val="22"/>
                <w:szCs w:val="22"/>
                <w:lang w:eastAsia="el-GR"/>
              </w:rPr>
              <w:t xml:space="preserve"> </w:t>
            </w:r>
            <w:r w:rsidRPr="00783411">
              <w:rPr>
                <w:rFonts w:asciiTheme="minorHAnsi" w:hAnsiTheme="minorHAnsi" w:cstheme="minorHAnsi"/>
                <w:sz w:val="22"/>
                <w:szCs w:val="22"/>
                <w:lang w:eastAsia="el-GR"/>
              </w:rPr>
              <w:t>courses</w:t>
            </w:r>
            <w:r w:rsidRPr="00B540EB">
              <w:rPr>
                <w:rFonts w:asciiTheme="minorHAnsi" w:hAnsiTheme="minorHAnsi" w:cstheme="minorHAnsi"/>
                <w:sz w:val="22"/>
                <w:szCs w:val="22"/>
                <w:lang w:eastAsia="el-GR"/>
              </w:rPr>
              <w:t>:</w:t>
            </w:r>
          </w:p>
          <w:p w14:paraId="4F246567" w14:textId="103ECADC" w:rsidR="00CC1EC5" w:rsidRPr="00AF405A" w:rsidRDefault="00783411" w:rsidP="00783411">
            <w:pPr>
              <w:pStyle w:val="bullet"/>
              <w:spacing w:before="0" w:beforeAutospacing="0" w:after="0" w:afterAutospacing="0"/>
              <w:rPr>
                <w:rFonts w:asciiTheme="minorHAnsi" w:hAnsiTheme="minorHAnsi" w:cstheme="minorHAnsi"/>
                <w:color w:val="002060"/>
              </w:rPr>
            </w:pPr>
            <w:r w:rsidRPr="00783411">
              <w:rPr>
                <w:rFonts w:asciiTheme="minorHAnsi" w:hAnsiTheme="minorHAnsi" w:cstheme="minorHAnsi"/>
                <w:sz w:val="22"/>
                <w:szCs w:val="22"/>
                <w:lang w:eastAsia="el-GR"/>
              </w:rPr>
              <w:t>“</w:t>
            </w:r>
            <w:r w:rsidR="00AF405A" w:rsidRPr="00783411">
              <w:rPr>
                <w:rFonts w:asciiTheme="minorHAnsi" w:hAnsiTheme="minorHAnsi" w:cstheme="minorHAnsi"/>
                <w:sz w:val="22"/>
                <w:szCs w:val="22"/>
                <w:lang w:eastAsia="el-GR"/>
              </w:rPr>
              <w:t>Mathematics – Linear Algebra</w:t>
            </w:r>
            <w:r w:rsidRPr="00783411">
              <w:rPr>
                <w:rFonts w:asciiTheme="minorHAnsi" w:hAnsiTheme="minorHAnsi" w:cstheme="minorHAnsi"/>
                <w:sz w:val="22"/>
                <w:szCs w:val="22"/>
                <w:lang w:eastAsia="el-GR"/>
              </w:rPr>
              <w:t>”</w:t>
            </w:r>
            <w:r w:rsidR="00AF405A" w:rsidRPr="00783411">
              <w:rPr>
                <w:rFonts w:asciiTheme="minorHAnsi" w:hAnsiTheme="minorHAnsi" w:cstheme="minorHAnsi"/>
                <w:sz w:val="22"/>
                <w:szCs w:val="22"/>
                <w:lang w:eastAsia="el-GR"/>
              </w:rPr>
              <w:t xml:space="preserve">, </w:t>
            </w:r>
            <w:r w:rsidRPr="00783411">
              <w:rPr>
                <w:rFonts w:asciiTheme="minorHAnsi" w:hAnsiTheme="minorHAnsi" w:cstheme="minorHAnsi"/>
                <w:sz w:val="22"/>
                <w:szCs w:val="22"/>
                <w:lang w:eastAsia="el-GR"/>
              </w:rPr>
              <w:t>“</w:t>
            </w:r>
            <w:r w:rsidR="00AF405A" w:rsidRPr="00783411">
              <w:rPr>
                <w:rFonts w:asciiTheme="minorHAnsi" w:hAnsiTheme="minorHAnsi" w:cstheme="minorHAnsi"/>
                <w:sz w:val="22"/>
                <w:szCs w:val="22"/>
                <w:lang w:eastAsia="el-GR"/>
              </w:rPr>
              <w:t>Mechanics of Materials</w:t>
            </w:r>
            <w:r w:rsidRPr="00783411">
              <w:rPr>
                <w:rFonts w:asciiTheme="minorHAnsi" w:hAnsiTheme="minorHAnsi" w:cstheme="minorHAnsi"/>
                <w:sz w:val="22"/>
                <w:szCs w:val="22"/>
                <w:lang w:eastAsia="el-GR"/>
              </w:rPr>
              <w:t>”</w:t>
            </w:r>
            <w:r w:rsidR="00AF405A" w:rsidRPr="00783411">
              <w:rPr>
                <w:rFonts w:asciiTheme="minorHAnsi" w:hAnsiTheme="minorHAnsi" w:cstheme="minorHAnsi"/>
                <w:sz w:val="22"/>
                <w:szCs w:val="22"/>
                <w:lang w:eastAsia="el-GR"/>
              </w:rPr>
              <w:t xml:space="preserve">, </w:t>
            </w:r>
            <w:r w:rsidRPr="00783411">
              <w:rPr>
                <w:rFonts w:asciiTheme="minorHAnsi" w:hAnsiTheme="minorHAnsi" w:cstheme="minorHAnsi"/>
                <w:sz w:val="22"/>
                <w:szCs w:val="22"/>
                <w:lang w:eastAsia="el-GR"/>
              </w:rPr>
              <w:t>“</w:t>
            </w:r>
            <w:r w:rsidR="00AF405A" w:rsidRPr="00783411">
              <w:rPr>
                <w:rFonts w:asciiTheme="minorHAnsi" w:hAnsiTheme="minorHAnsi" w:cstheme="minorHAnsi"/>
                <w:sz w:val="22"/>
                <w:szCs w:val="22"/>
              </w:rPr>
              <w:t>Matrix Structural Analysis</w:t>
            </w:r>
            <w:r w:rsidRPr="00783411">
              <w:rPr>
                <w:rFonts w:asciiTheme="minorHAnsi" w:hAnsiTheme="minorHAnsi" w:cstheme="minorHAnsi"/>
                <w:sz w:val="22"/>
                <w:szCs w:val="22"/>
              </w:rPr>
              <w:t>”</w:t>
            </w:r>
            <w:r w:rsidR="00AF405A" w:rsidRPr="00783411">
              <w:rPr>
                <w:rFonts w:asciiTheme="minorHAnsi" w:hAnsiTheme="minorHAnsi" w:cstheme="minorHAnsi"/>
                <w:sz w:val="22"/>
                <w:szCs w:val="22"/>
              </w:rPr>
              <w:t xml:space="preserve">, </w:t>
            </w:r>
            <w:r w:rsidR="009866D4">
              <w:rPr>
                <w:rFonts w:asciiTheme="minorHAnsi" w:hAnsiTheme="minorHAnsi" w:cstheme="minorHAnsi"/>
                <w:sz w:val="22"/>
                <w:szCs w:val="22"/>
              </w:rPr>
              <w:t>“</w:t>
            </w:r>
            <w:r w:rsidR="00482566">
              <w:rPr>
                <w:rFonts w:asciiTheme="minorHAnsi" w:hAnsiTheme="minorHAnsi" w:cstheme="minorHAnsi"/>
                <w:sz w:val="22"/>
                <w:szCs w:val="22"/>
              </w:rPr>
              <w:t xml:space="preserve">Structural </w:t>
            </w:r>
            <w:r w:rsidR="009866D4">
              <w:rPr>
                <w:rFonts w:asciiTheme="minorHAnsi" w:hAnsiTheme="minorHAnsi" w:cstheme="minorHAnsi"/>
                <w:sz w:val="22"/>
                <w:szCs w:val="22"/>
              </w:rPr>
              <w:t>Dynamics”</w:t>
            </w:r>
            <w:r w:rsidR="009866D4" w:rsidRPr="009866D4">
              <w:rPr>
                <w:rFonts w:cstheme="minorHAnsi"/>
              </w:rPr>
              <w:t>,</w:t>
            </w:r>
            <w:r w:rsidR="009866D4" w:rsidRPr="009866D4">
              <w:rPr>
                <w:rFonts w:asciiTheme="minorHAnsi" w:hAnsiTheme="minorHAnsi" w:cstheme="minorHAnsi"/>
                <w:sz w:val="22"/>
                <w:szCs w:val="22"/>
              </w:rPr>
              <w:t xml:space="preserve"> </w:t>
            </w:r>
            <w:r w:rsidR="009866D4">
              <w:rPr>
                <w:rFonts w:asciiTheme="minorHAnsi" w:hAnsiTheme="minorHAnsi" w:cstheme="minorHAnsi"/>
                <w:sz w:val="22"/>
                <w:szCs w:val="22"/>
              </w:rPr>
              <w:t>“Design of RC Linear Elements”,</w:t>
            </w:r>
            <w:r w:rsidR="009866D4" w:rsidRPr="00783411">
              <w:rPr>
                <w:rFonts w:asciiTheme="minorHAnsi" w:hAnsiTheme="minorHAnsi" w:cstheme="minorHAnsi"/>
                <w:sz w:val="22"/>
                <w:szCs w:val="22"/>
              </w:rPr>
              <w:t xml:space="preserve"> </w:t>
            </w:r>
            <w:r w:rsidRPr="00783411">
              <w:rPr>
                <w:rFonts w:asciiTheme="minorHAnsi" w:hAnsiTheme="minorHAnsi" w:cstheme="minorHAnsi"/>
                <w:sz w:val="22"/>
                <w:szCs w:val="22"/>
              </w:rPr>
              <w:t>“</w:t>
            </w:r>
            <w:hyperlink r:id="rId5" w:history="1">
              <w:r w:rsidRPr="00783411">
                <w:rPr>
                  <w:rStyle w:val="Hyperlink"/>
                  <w:rFonts w:asciiTheme="minorHAnsi" w:hAnsiTheme="minorHAnsi" w:cstheme="minorHAnsi"/>
                  <w:color w:val="auto"/>
                  <w:sz w:val="22"/>
                  <w:szCs w:val="22"/>
                  <w:u w:val="none"/>
                </w:rPr>
                <w:t>Repair and Strengthening of RC Structures</w:t>
              </w:r>
            </w:hyperlink>
            <w:r w:rsidRPr="00783411">
              <w:rPr>
                <w:rFonts w:asciiTheme="minorHAnsi" w:hAnsiTheme="minorHAnsi" w:cstheme="minorHAnsi"/>
                <w:sz w:val="22"/>
                <w:szCs w:val="22"/>
              </w:rPr>
              <w:t>”</w:t>
            </w:r>
          </w:p>
        </w:tc>
      </w:tr>
      <w:tr w:rsidR="00CC1EC5" w:rsidRPr="006403CB" w14:paraId="769D5906" w14:textId="77777777" w:rsidTr="00783411">
        <w:tc>
          <w:tcPr>
            <w:tcW w:w="3205" w:type="dxa"/>
            <w:shd w:val="clear" w:color="auto" w:fill="D0CECE" w:themeFill="background2" w:themeFillShade="E6"/>
          </w:tcPr>
          <w:p w14:paraId="04E74130"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LANGUAGE OF INSTRUCTION and EXAMINATIONS:</w:t>
            </w:r>
          </w:p>
        </w:tc>
        <w:tc>
          <w:tcPr>
            <w:tcW w:w="5293" w:type="dxa"/>
            <w:gridSpan w:val="5"/>
            <w:vAlign w:val="center"/>
          </w:tcPr>
          <w:p w14:paraId="36BC733A" w14:textId="77777777" w:rsidR="00CC1EC5" w:rsidRPr="00B540EB" w:rsidRDefault="00A92926" w:rsidP="00E30CBA">
            <w:pPr>
              <w:rPr>
                <w:rFonts w:asciiTheme="minorHAnsi" w:hAnsiTheme="minorHAnsi" w:cstheme="minorHAnsi"/>
                <w:lang w:val="en-GB"/>
              </w:rPr>
            </w:pPr>
            <w:r w:rsidRPr="00B540EB">
              <w:rPr>
                <w:rFonts w:asciiTheme="minorHAnsi" w:hAnsiTheme="minorHAnsi" w:cstheme="minorHAnsi"/>
                <w:sz w:val="22"/>
                <w:szCs w:val="22"/>
                <w:lang w:val="en-GB"/>
              </w:rPr>
              <w:t>Greek</w:t>
            </w:r>
          </w:p>
        </w:tc>
      </w:tr>
      <w:tr w:rsidR="00CC1EC5" w:rsidRPr="006403CB" w14:paraId="379D8049" w14:textId="77777777" w:rsidTr="00EF6EFC">
        <w:tc>
          <w:tcPr>
            <w:tcW w:w="3205" w:type="dxa"/>
            <w:shd w:val="clear" w:color="auto" w:fill="D0CECE" w:themeFill="background2" w:themeFillShade="E6"/>
          </w:tcPr>
          <w:p w14:paraId="0D6D3D09" w14:textId="77777777" w:rsidR="00CC1EC5" w:rsidRPr="006403CB" w:rsidRDefault="00CC1EC5" w:rsidP="00E30CBA">
            <w:pPr>
              <w:jc w:val="right"/>
              <w:rPr>
                <w:rFonts w:asciiTheme="majorHAnsi" w:hAnsiTheme="majorHAnsi" w:cs="Arial"/>
                <w:b/>
                <w:sz w:val="20"/>
                <w:szCs w:val="20"/>
                <w:lang w:val="en-GB"/>
              </w:rPr>
            </w:pPr>
            <w:r>
              <w:rPr>
                <w:rFonts w:asciiTheme="majorHAnsi" w:hAnsiTheme="majorHAnsi" w:cs="Arial"/>
                <w:b/>
                <w:sz w:val="20"/>
                <w:szCs w:val="20"/>
                <w:lang w:val="en-GB"/>
              </w:rPr>
              <w:t>IS THE COURSE</w:t>
            </w:r>
            <w:r w:rsidRPr="006403CB">
              <w:rPr>
                <w:rFonts w:asciiTheme="majorHAnsi" w:hAnsiTheme="majorHAnsi" w:cs="Arial"/>
                <w:b/>
                <w:sz w:val="20"/>
                <w:szCs w:val="20"/>
                <w:lang w:val="en-GB"/>
              </w:rPr>
              <w:t xml:space="preserve"> OFFERED TO ERASMUS STUDENTS</w:t>
            </w:r>
          </w:p>
        </w:tc>
        <w:tc>
          <w:tcPr>
            <w:tcW w:w="5293" w:type="dxa"/>
            <w:gridSpan w:val="5"/>
            <w:vAlign w:val="center"/>
          </w:tcPr>
          <w:p w14:paraId="32CB2D81" w14:textId="2F3252A5" w:rsidR="00CC1EC5" w:rsidRPr="00B540EB" w:rsidRDefault="00EF6EFC" w:rsidP="00E30CBA">
            <w:pPr>
              <w:rPr>
                <w:rFonts w:asciiTheme="minorHAnsi" w:hAnsiTheme="minorHAnsi" w:cstheme="minorHAnsi"/>
                <w:lang w:val="el-GR"/>
              </w:rPr>
            </w:pPr>
            <w:r w:rsidRPr="00B540EB">
              <w:rPr>
                <w:rFonts w:asciiTheme="minorHAnsi" w:hAnsiTheme="minorHAnsi" w:cstheme="minorHAnsi"/>
                <w:sz w:val="22"/>
                <w:szCs w:val="22"/>
                <w:lang w:val="el-GR"/>
              </w:rPr>
              <w:t>Νο</w:t>
            </w:r>
          </w:p>
        </w:tc>
      </w:tr>
      <w:tr w:rsidR="00CC1EC5" w:rsidRPr="006403CB" w14:paraId="011E7E0C" w14:textId="77777777" w:rsidTr="00EF6EFC">
        <w:tc>
          <w:tcPr>
            <w:tcW w:w="3205" w:type="dxa"/>
            <w:shd w:val="clear" w:color="auto" w:fill="D0CECE" w:themeFill="background2" w:themeFillShade="E6"/>
          </w:tcPr>
          <w:p w14:paraId="304F42DE"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COURSE WEBSITE (URL)</w:t>
            </w:r>
          </w:p>
        </w:tc>
        <w:tc>
          <w:tcPr>
            <w:tcW w:w="5293" w:type="dxa"/>
            <w:gridSpan w:val="5"/>
            <w:vAlign w:val="center"/>
          </w:tcPr>
          <w:p w14:paraId="6BC50A06" w14:textId="199FF068" w:rsidR="00CC1EC5" w:rsidRPr="00B540EB" w:rsidRDefault="00EF6EFC" w:rsidP="00EF6EFC">
            <w:pPr>
              <w:rPr>
                <w:rFonts w:asciiTheme="minorHAnsi" w:eastAsia="Calibri" w:hAnsiTheme="minorHAnsi" w:cstheme="minorHAnsi"/>
                <w:lang w:val="en-GB"/>
              </w:rPr>
            </w:pPr>
            <w:r w:rsidRPr="00B540EB">
              <w:rPr>
                <w:rFonts w:asciiTheme="minorHAnsi" w:hAnsiTheme="minorHAnsi" w:cstheme="minorHAnsi"/>
                <w:sz w:val="22"/>
                <w:szCs w:val="22"/>
              </w:rPr>
              <w:t>https://eclass.upatras.gr/courses/CIV1767/</w:t>
            </w:r>
          </w:p>
        </w:tc>
      </w:tr>
    </w:tbl>
    <w:p w14:paraId="09D63B33"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LEARNING OUTCOMES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64"/>
        <w:gridCol w:w="4508"/>
      </w:tblGrid>
      <w:tr w:rsidR="00CC1EC5" w:rsidRPr="006403CB" w14:paraId="5E3BAEEC" w14:textId="77777777" w:rsidTr="00E30CBA">
        <w:tc>
          <w:tcPr>
            <w:tcW w:w="8472" w:type="dxa"/>
            <w:gridSpan w:val="2"/>
            <w:tcBorders>
              <w:bottom w:val="nil"/>
            </w:tcBorders>
            <w:shd w:val="clear" w:color="auto" w:fill="D0CECE" w:themeFill="background2" w:themeFillShade="E6"/>
          </w:tcPr>
          <w:p w14:paraId="7AA9C6C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b/>
                <w:sz w:val="20"/>
                <w:szCs w:val="20"/>
                <w:lang w:val="en-GB"/>
              </w:rPr>
              <w:t>Learning outcomes</w:t>
            </w:r>
          </w:p>
        </w:tc>
      </w:tr>
      <w:tr w:rsidR="00CC1EC5" w:rsidRPr="006403CB" w14:paraId="502264C9" w14:textId="77777777" w:rsidTr="00E30CBA">
        <w:tc>
          <w:tcPr>
            <w:tcW w:w="8472" w:type="dxa"/>
            <w:gridSpan w:val="2"/>
            <w:tcBorders>
              <w:top w:val="nil"/>
            </w:tcBorders>
            <w:shd w:val="clear" w:color="auto" w:fill="D0CECE" w:themeFill="background2" w:themeFillShade="E6"/>
          </w:tcPr>
          <w:p w14:paraId="32B28840"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The course learning outcomes, specific knowledge, skills and competences of an appropriate level, which the students will acquire with the successful completion of the course are described.</w:t>
            </w:r>
          </w:p>
          <w:p w14:paraId="0621C40A" w14:textId="77777777" w:rsidR="00CC1EC5" w:rsidRPr="006403CB" w:rsidRDefault="00CC1EC5" w:rsidP="00E30CBA">
            <w:pPr>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Consult Appendix A </w:t>
            </w:r>
          </w:p>
          <w:p w14:paraId="586A5D5E"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Description of the level of learning outcomes for each qualifications cycle, according to the Qualifications Framework of the European Higher Education Area</w:t>
            </w:r>
          </w:p>
          <w:p w14:paraId="038CBFA9"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Descriptors for Levels 6, 7 &amp; 8 of the European Qualifications Framework for Lifelong Learning and Appendix B</w:t>
            </w:r>
          </w:p>
          <w:p w14:paraId="49A16812" w14:textId="77777777" w:rsidR="00CC1EC5" w:rsidRPr="006403CB" w:rsidRDefault="00CC1EC5" w:rsidP="00CC1EC5">
            <w:pPr>
              <w:widowControl w:val="0"/>
              <w:numPr>
                <w:ilvl w:val="0"/>
                <w:numId w:val="2"/>
              </w:numPr>
              <w:autoSpaceDE w:val="0"/>
              <w:autoSpaceDN w:val="0"/>
              <w:adjustRightInd w:val="0"/>
              <w:spacing w:after="200" w:line="276" w:lineRule="auto"/>
              <w:ind w:left="313" w:hanging="219"/>
              <w:contextualSpacing/>
              <w:rPr>
                <w:rFonts w:asciiTheme="majorHAnsi" w:hAnsiTheme="majorHAnsi" w:cs="Arial"/>
                <w:i/>
                <w:sz w:val="16"/>
                <w:szCs w:val="16"/>
                <w:lang w:val="en-GB"/>
              </w:rPr>
            </w:pPr>
            <w:r w:rsidRPr="006403CB">
              <w:rPr>
                <w:rFonts w:asciiTheme="majorHAnsi" w:hAnsiTheme="majorHAnsi" w:cs="Arial"/>
                <w:i/>
                <w:sz w:val="16"/>
                <w:szCs w:val="16"/>
                <w:lang w:val="en-GB"/>
              </w:rPr>
              <w:t xml:space="preserve">Guidelines for writing Learning Outcomes </w:t>
            </w:r>
          </w:p>
        </w:tc>
      </w:tr>
      <w:tr w:rsidR="00CC1EC5" w:rsidRPr="00F46F0A" w14:paraId="5EFE903C" w14:textId="77777777" w:rsidTr="00F46F0A">
        <w:tc>
          <w:tcPr>
            <w:tcW w:w="8472" w:type="dxa"/>
            <w:gridSpan w:val="2"/>
            <w:vAlign w:val="center"/>
          </w:tcPr>
          <w:p w14:paraId="3DCFF7AC" w14:textId="77777777" w:rsidR="001209E2" w:rsidRPr="001209E2" w:rsidRDefault="001209E2" w:rsidP="001209E2">
            <w:pPr>
              <w:widowControl w:val="0"/>
              <w:autoSpaceDE w:val="0"/>
              <w:autoSpaceDN w:val="0"/>
              <w:adjustRightInd w:val="0"/>
              <w:rPr>
                <w:rFonts w:asciiTheme="minorHAnsi" w:hAnsiTheme="minorHAnsi" w:cstheme="minorHAnsi"/>
                <w:iCs/>
              </w:rPr>
            </w:pPr>
            <w:r w:rsidRPr="001209E2">
              <w:rPr>
                <w:rFonts w:asciiTheme="minorHAnsi" w:hAnsiTheme="minorHAnsi" w:cstheme="minorHAnsi"/>
                <w:iCs/>
                <w:sz w:val="22"/>
                <w:szCs w:val="22"/>
              </w:rPr>
              <w:t>At the end of this course the student will have been familiar with knowledge related to:</w:t>
            </w:r>
          </w:p>
          <w:p w14:paraId="6E5D5FD1" w14:textId="149997CE" w:rsidR="001209E2" w:rsidRPr="00D44961" w:rsidRDefault="001209E2" w:rsidP="00D44961">
            <w:pPr>
              <w:pStyle w:val="ListParagraph"/>
              <w:widowControl w:val="0"/>
              <w:numPr>
                <w:ilvl w:val="0"/>
                <w:numId w:val="9"/>
              </w:numPr>
              <w:autoSpaceDE w:val="0"/>
              <w:autoSpaceDN w:val="0"/>
              <w:adjustRightInd w:val="0"/>
              <w:ind w:left="426"/>
              <w:rPr>
                <w:rFonts w:asciiTheme="minorHAnsi" w:hAnsiTheme="minorHAnsi" w:cstheme="minorHAnsi"/>
                <w:iCs/>
              </w:rPr>
            </w:pPr>
            <w:r w:rsidRPr="00D44961">
              <w:rPr>
                <w:rFonts w:asciiTheme="minorHAnsi" w:hAnsiTheme="minorHAnsi" w:cstheme="minorHAnsi"/>
                <w:iCs/>
                <w:sz w:val="22"/>
                <w:szCs w:val="22"/>
              </w:rPr>
              <w:lastRenderedPageBreak/>
              <w:t>Inelastic analyses of RC framed structures, taking into account material and geometric nonlinearities.</w:t>
            </w:r>
          </w:p>
          <w:p w14:paraId="0F31C911" w14:textId="2DA830D8" w:rsidR="001209E2" w:rsidRPr="00D44961" w:rsidRDefault="001209E2" w:rsidP="00D44961">
            <w:pPr>
              <w:pStyle w:val="ListParagraph"/>
              <w:widowControl w:val="0"/>
              <w:numPr>
                <w:ilvl w:val="0"/>
                <w:numId w:val="9"/>
              </w:numPr>
              <w:autoSpaceDE w:val="0"/>
              <w:autoSpaceDN w:val="0"/>
              <w:adjustRightInd w:val="0"/>
              <w:ind w:left="426"/>
              <w:rPr>
                <w:rFonts w:asciiTheme="minorHAnsi" w:hAnsiTheme="minorHAnsi" w:cstheme="minorHAnsi"/>
                <w:iCs/>
              </w:rPr>
            </w:pPr>
            <w:r w:rsidRPr="00D44961">
              <w:rPr>
                <w:rFonts w:asciiTheme="minorHAnsi" w:hAnsiTheme="minorHAnsi" w:cstheme="minorHAnsi"/>
                <w:iCs/>
                <w:sz w:val="22"/>
                <w:szCs w:val="22"/>
              </w:rPr>
              <w:t>Algorithms for calculating dynamic nodal and surface loads of building structures, resulting from special load actions such as explosion, tsunami waves, wind pressure and impact.</w:t>
            </w:r>
          </w:p>
          <w:p w14:paraId="0E4743BE" w14:textId="052E520E" w:rsidR="00F46F0A" w:rsidRPr="00C93C0D" w:rsidRDefault="001209E2" w:rsidP="001209E2">
            <w:pPr>
              <w:pStyle w:val="ListParagraph"/>
              <w:widowControl w:val="0"/>
              <w:numPr>
                <w:ilvl w:val="0"/>
                <w:numId w:val="8"/>
              </w:numPr>
              <w:autoSpaceDE w:val="0"/>
              <w:autoSpaceDN w:val="0"/>
              <w:adjustRightInd w:val="0"/>
              <w:ind w:left="426"/>
              <w:rPr>
                <w:rFonts w:asciiTheme="minorHAnsi" w:hAnsiTheme="minorHAnsi" w:cstheme="minorHAnsi"/>
                <w:iCs/>
              </w:rPr>
            </w:pPr>
            <w:r w:rsidRPr="001209E2">
              <w:rPr>
                <w:rFonts w:asciiTheme="minorHAnsi" w:hAnsiTheme="minorHAnsi" w:cstheme="minorHAnsi"/>
                <w:iCs/>
                <w:sz w:val="22"/>
                <w:szCs w:val="22"/>
              </w:rPr>
              <w:t>Processing and interpretation of the results derived from inelastic analyses for the above specific load actions, as well as for seismic action and progressive collapse of buildings.</w:t>
            </w:r>
          </w:p>
        </w:tc>
      </w:tr>
      <w:tr w:rsidR="00CC1EC5" w:rsidRPr="006403CB" w14:paraId="2A019DCA" w14:textId="77777777" w:rsidTr="00E30CBA">
        <w:tblPrEx>
          <w:tblLook w:val="0000" w:firstRow="0" w:lastRow="0" w:firstColumn="0" w:lastColumn="0" w:noHBand="0" w:noVBand="0"/>
        </w:tblPrEx>
        <w:tc>
          <w:tcPr>
            <w:tcW w:w="8472" w:type="dxa"/>
            <w:gridSpan w:val="2"/>
            <w:tcBorders>
              <w:bottom w:val="nil"/>
            </w:tcBorders>
            <w:shd w:val="clear" w:color="auto" w:fill="D0CECE" w:themeFill="background2" w:themeFillShade="E6"/>
          </w:tcPr>
          <w:p w14:paraId="66F0412F"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b/>
                <w:sz w:val="20"/>
                <w:szCs w:val="20"/>
                <w:lang w:val="en-GB"/>
              </w:rPr>
              <w:lastRenderedPageBreak/>
              <w:t xml:space="preserve">General Competences </w:t>
            </w:r>
          </w:p>
        </w:tc>
      </w:tr>
      <w:tr w:rsidR="00CC1EC5" w:rsidRPr="006403CB" w14:paraId="2BD52EEE" w14:textId="77777777" w:rsidTr="00E30CBA">
        <w:tc>
          <w:tcPr>
            <w:tcW w:w="8472" w:type="dxa"/>
            <w:gridSpan w:val="2"/>
            <w:tcBorders>
              <w:top w:val="nil"/>
              <w:bottom w:val="nil"/>
            </w:tcBorders>
            <w:shd w:val="clear" w:color="auto" w:fill="D0CECE" w:themeFill="background2" w:themeFillShade="E6"/>
          </w:tcPr>
          <w:p w14:paraId="1B0F0F93" w14:textId="77777777" w:rsidR="00CC1EC5" w:rsidRPr="006403CB" w:rsidRDefault="00CC1EC5" w:rsidP="00E30CBA">
            <w:pPr>
              <w:widowControl w:val="0"/>
              <w:autoSpaceDE w:val="0"/>
              <w:autoSpaceDN w:val="0"/>
              <w:adjustRightInd w:val="0"/>
              <w:spacing w:after="60"/>
              <w:rPr>
                <w:rFonts w:asciiTheme="majorHAnsi" w:hAnsiTheme="majorHAnsi" w:cs="Arial"/>
                <w:i/>
                <w:sz w:val="16"/>
                <w:szCs w:val="16"/>
                <w:lang w:val="en-GB"/>
              </w:rPr>
            </w:pPr>
            <w:r w:rsidRPr="006403CB">
              <w:rPr>
                <w:rFonts w:asciiTheme="majorHAnsi" w:hAnsiTheme="majorHAnsi" w:cs="Arial"/>
                <w:i/>
                <w:sz w:val="16"/>
                <w:szCs w:val="16"/>
                <w:lang w:val="en-GB"/>
              </w:rPr>
              <w:t>Taking into consideration the general competences that the degree-holder must acquire (as these appear in the Diploma Supplement and appear below), at which of the following does the course aim?</w:t>
            </w:r>
          </w:p>
        </w:tc>
      </w:tr>
      <w:tr w:rsidR="00CC1EC5" w:rsidRPr="006403CB" w14:paraId="510CBF35" w14:textId="77777777" w:rsidTr="00E30CBA">
        <w:tblPrEx>
          <w:tblLook w:val="0000" w:firstRow="0" w:lastRow="0" w:firstColumn="0" w:lastColumn="0" w:noHBand="0" w:noVBand="0"/>
        </w:tblPrEx>
        <w:tc>
          <w:tcPr>
            <w:tcW w:w="3964" w:type="dxa"/>
            <w:tcBorders>
              <w:top w:val="nil"/>
              <w:bottom w:val="single" w:sz="4" w:space="0" w:color="auto"/>
              <w:right w:val="nil"/>
            </w:tcBorders>
            <w:shd w:val="clear" w:color="auto" w:fill="D0CECE" w:themeFill="background2" w:themeFillShade="E6"/>
          </w:tcPr>
          <w:p w14:paraId="2C76209A"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Search for, analysis and synthesis of data and information, with the use of the necessary technology </w:t>
            </w:r>
          </w:p>
          <w:p w14:paraId="4ACD7A01"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Adapting to new situations </w:t>
            </w:r>
          </w:p>
          <w:p w14:paraId="47CE4BD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Decision-making </w:t>
            </w:r>
          </w:p>
          <w:p w14:paraId="5040118E"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independently </w:t>
            </w:r>
          </w:p>
          <w:p w14:paraId="44EE52F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Team work</w:t>
            </w:r>
          </w:p>
          <w:p w14:paraId="05F2D562"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international environment </w:t>
            </w:r>
          </w:p>
          <w:p w14:paraId="4FF0D4C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Working in an interdisciplinary environment </w:t>
            </w:r>
          </w:p>
          <w:p w14:paraId="65200819"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Production of new research ideas </w:t>
            </w:r>
          </w:p>
        </w:tc>
        <w:tc>
          <w:tcPr>
            <w:tcW w:w="4508" w:type="dxa"/>
            <w:tcBorders>
              <w:top w:val="nil"/>
              <w:left w:val="nil"/>
              <w:bottom w:val="single" w:sz="4" w:space="0" w:color="auto"/>
            </w:tcBorders>
            <w:shd w:val="clear" w:color="auto" w:fill="D0CECE" w:themeFill="background2" w:themeFillShade="E6"/>
          </w:tcPr>
          <w:p w14:paraId="18E38233"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Project planning and management </w:t>
            </w:r>
          </w:p>
          <w:p w14:paraId="6B068D35"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difference and multiculturalism </w:t>
            </w:r>
          </w:p>
          <w:p w14:paraId="75640A4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Respect for the natural environment </w:t>
            </w:r>
          </w:p>
          <w:p w14:paraId="19EC73CF"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Showing social, professional and ethical responsibility and sensitivity to gender issues </w:t>
            </w:r>
          </w:p>
          <w:p w14:paraId="1F239076" w14:textId="77777777" w:rsidR="00CC1EC5" w:rsidRPr="006403CB" w:rsidRDefault="00CC1EC5" w:rsidP="00E30CBA">
            <w:pPr>
              <w:widowControl w:val="0"/>
              <w:autoSpaceDE w:val="0"/>
              <w:autoSpaceDN w:val="0"/>
              <w:adjustRightInd w:val="0"/>
              <w:rPr>
                <w:rFonts w:asciiTheme="majorHAnsi" w:hAnsiTheme="majorHAnsi" w:cs="Arial"/>
                <w:i/>
                <w:sz w:val="16"/>
                <w:szCs w:val="16"/>
                <w:lang w:val="en-GB"/>
              </w:rPr>
            </w:pPr>
            <w:r w:rsidRPr="006403CB">
              <w:rPr>
                <w:rFonts w:asciiTheme="majorHAnsi" w:hAnsiTheme="majorHAnsi" w:cs="Arial"/>
                <w:i/>
                <w:sz w:val="16"/>
                <w:szCs w:val="16"/>
                <w:lang w:val="en-GB"/>
              </w:rPr>
              <w:t xml:space="preserve">Criticism and self-criticism </w:t>
            </w:r>
          </w:p>
          <w:p w14:paraId="3269C48D"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Production of free, creative and inductive thinking</w:t>
            </w:r>
          </w:p>
          <w:p w14:paraId="1EA62C37"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w:t>
            </w:r>
          </w:p>
          <w:p w14:paraId="67FB0F66" w14:textId="77777777" w:rsidR="00CC1EC5" w:rsidRPr="006403CB" w:rsidRDefault="00CC1EC5" w:rsidP="00E30CBA">
            <w:pPr>
              <w:rPr>
                <w:rFonts w:asciiTheme="majorHAnsi" w:hAnsiTheme="majorHAnsi" w:cs="Arial"/>
                <w:i/>
                <w:sz w:val="16"/>
                <w:szCs w:val="16"/>
                <w:lang w:val="en-GB"/>
              </w:rPr>
            </w:pPr>
            <w:r w:rsidRPr="006403CB">
              <w:rPr>
                <w:rFonts w:asciiTheme="majorHAnsi" w:hAnsiTheme="majorHAnsi" w:cs="Arial"/>
                <w:i/>
                <w:sz w:val="16"/>
                <w:szCs w:val="16"/>
                <w:lang w:val="en-GB"/>
              </w:rPr>
              <w:t>Others…</w:t>
            </w:r>
          </w:p>
          <w:p w14:paraId="258A9898" w14:textId="77777777" w:rsidR="00CC1EC5" w:rsidRPr="006403CB" w:rsidRDefault="00CC1EC5" w:rsidP="00E30CBA">
            <w:pPr>
              <w:rPr>
                <w:rFonts w:asciiTheme="majorHAnsi" w:hAnsiTheme="majorHAnsi" w:cs="Arial"/>
                <w:b/>
                <w:sz w:val="20"/>
                <w:szCs w:val="20"/>
                <w:lang w:val="en-GB"/>
              </w:rPr>
            </w:pPr>
            <w:r w:rsidRPr="006403CB">
              <w:rPr>
                <w:rFonts w:asciiTheme="majorHAnsi" w:hAnsiTheme="majorHAnsi" w:cs="Arial"/>
                <w:i/>
                <w:sz w:val="16"/>
                <w:szCs w:val="16"/>
                <w:lang w:val="en-GB"/>
              </w:rPr>
              <w:t>…….</w:t>
            </w:r>
          </w:p>
        </w:tc>
      </w:tr>
      <w:tr w:rsidR="00CC1EC5" w:rsidRPr="006403CB" w14:paraId="366104C9" w14:textId="77777777" w:rsidTr="00E30CBA">
        <w:tc>
          <w:tcPr>
            <w:tcW w:w="8472" w:type="dxa"/>
            <w:gridSpan w:val="2"/>
            <w:tcBorders>
              <w:bottom w:val="single" w:sz="4" w:space="0" w:color="auto"/>
            </w:tcBorders>
          </w:tcPr>
          <w:p w14:paraId="57B65194" w14:textId="77777777" w:rsidR="005B2E4C" w:rsidRPr="00B540EB" w:rsidRDefault="005B2E4C" w:rsidP="005B2E4C">
            <w:pPr>
              <w:pStyle w:val="ListParagraph"/>
              <w:widowControl w:val="0"/>
              <w:numPr>
                <w:ilvl w:val="0"/>
                <w:numId w:val="8"/>
              </w:numPr>
              <w:autoSpaceDE w:val="0"/>
              <w:autoSpaceDN w:val="0"/>
              <w:adjustRightInd w:val="0"/>
              <w:ind w:left="426"/>
              <w:rPr>
                <w:rFonts w:asciiTheme="minorHAnsi" w:hAnsiTheme="minorHAnsi" w:cstheme="minorHAnsi"/>
                <w:iCs/>
                <w:lang w:val="en-GB"/>
              </w:rPr>
            </w:pPr>
            <w:r w:rsidRPr="00B540EB">
              <w:rPr>
                <w:rFonts w:asciiTheme="minorHAnsi" w:hAnsiTheme="minorHAnsi" w:cstheme="minorHAnsi"/>
                <w:iCs/>
                <w:sz w:val="22"/>
                <w:szCs w:val="22"/>
                <w:lang w:val="en-GB"/>
              </w:rPr>
              <w:t xml:space="preserve">Project planning and management </w:t>
            </w:r>
          </w:p>
          <w:p w14:paraId="106CF4E6" w14:textId="77777777" w:rsidR="005B2E4C" w:rsidRPr="00B540EB" w:rsidRDefault="005B2E4C" w:rsidP="005B2E4C">
            <w:pPr>
              <w:pStyle w:val="ListParagraph"/>
              <w:numPr>
                <w:ilvl w:val="0"/>
                <w:numId w:val="8"/>
              </w:numPr>
              <w:ind w:left="426"/>
              <w:rPr>
                <w:rFonts w:asciiTheme="minorHAnsi" w:hAnsiTheme="minorHAnsi" w:cstheme="minorHAnsi"/>
                <w:iCs/>
                <w:lang w:val="en-GB"/>
              </w:rPr>
            </w:pPr>
            <w:r w:rsidRPr="00B540EB">
              <w:rPr>
                <w:rFonts w:asciiTheme="minorHAnsi" w:hAnsiTheme="minorHAnsi" w:cstheme="minorHAnsi"/>
                <w:iCs/>
                <w:sz w:val="22"/>
                <w:szCs w:val="22"/>
                <w:lang w:val="en-GB"/>
              </w:rPr>
              <w:t>Production of free, creative and inductive thinking</w:t>
            </w:r>
          </w:p>
          <w:p w14:paraId="21B4F67E" w14:textId="5241E638" w:rsidR="00CC1EC5" w:rsidRPr="005B2E4C" w:rsidRDefault="005B2E4C" w:rsidP="005B2E4C">
            <w:pPr>
              <w:pStyle w:val="ListParagraph"/>
              <w:widowControl w:val="0"/>
              <w:numPr>
                <w:ilvl w:val="0"/>
                <w:numId w:val="8"/>
              </w:numPr>
              <w:autoSpaceDE w:val="0"/>
              <w:autoSpaceDN w:val="0"/>
              <w:adjustRightInd w:val="0"/>
              <w:ind w:left="426"/>
              <w:rPr>
                <w:rFonts w:asciiTheme="minorHAnsi" w:hAnsiTheme="minorHAnsi" w:cstheme="minorHAnsi"/>
                <w:i/>
                <w:sz w:val="20"/>
                <w:szCs w:val="20"/>
                <w:lang w:val="en-GB"/>
              </w:rPr>
            </w:pPr>
            <w:r w:rsidRPr="00B540EB">
              <w:rPr>
                <w:rFonts w:asciiTheme="minorHAnsi" w:hAnsiTheme="minorHAnsi" w:cstheme="minorHAnsi"/>
                <w:iCs/>
                <w:sz w:val="22"/>
                <w:szCs w:val="22"/>
                <w:lang w:val="en-GB"/>
              </w:rPr>
              <w:t>Decision-making</w:t>
            </w:r>
            <w:r w:rsidRPr="005B2E4C">
              <w:rPr>
                <w:rFonts w:asciiTheme="majorHAnsi" w:hAnsiTheme="majorHAnsi" w:cs="Arial"/>
                <w:i/>
                <w:sz w:val="16"/>
                <w:szCs w:val="16"/>
                <w:lang w:val="en-GB"/>
              </w:rPr>
              <w:t xml:space="preserve"> </w:t>
            </w:r>
            <w:r w:rsidR="00EE5002">
              <w:t xml:space="preserve"> </w:t>
            </w:r>
          </w:p>
        </w:tc>
      </w:tr>
    </w:tbl>
    <w:p w14:paraId="430151A9" w14:textId="77777777" w:rsidR="00CC1EC5" w:rsidRPr="006403CB" w:rsidRDefault="00CC1EC5" w:rsidP="00CC1EC5">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SYLLABUS</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446A11" w:rsidRPr="00446A11" w14:paraId="74C3C4EE" w14:textId="77777777" w:rsidTr="00446A11">
        <w:tc>
          <w:tcPr>
            <w:tcW w:w="8472" w:type="dxa"/>
          </w:tcPr>
          <w:p w14:paraId="37A010BB" w14:textId="29B3B1C8" w:rsidR="005B2E4C" w:rsidRPr="006E75E2" w:rsidRDefault="006E75E2" w:rsidP="00AB07F9">
            <w:pPr>
              <w:pStyle w:val="ListParagraph"/>
              <w:numPr>
                <w:ilvl w:val="0"/>
                <w:numId w:val="12"/>
              </w:numPr>
              <w:ind w:left="426"/>
              <w:rPr>
                <w:rStyle w:val="tlid-translation"/>
                <w:rFonts w:asciiTheme="minorHAnsi" w:hAnsiTheme="minorHAnsi" w:cstheme="minorHAnsi"/>
              </w:rPr>
            </w:pPr>
            <w:r w:rsidRPr="006E75E2">
              <w:rPr>
                <w:rStyle w:val="tlid-translation"/>
                <w:rFonts w:asciiTheme="minorHAnsi" w:hAnsiTheme="minorHAnsi" w:cstheme="minorHAnsi"/>
                <w:sz w:val="22"/>
                <w:szCs w:val="22"/>
              </w:rPr>
              <w:t>Constitutive s</w:t>
            </w:r>
            <w:r w:rsidR="005B2E4C" w:rsidRPr="006E75E2">
              <w:rPr>
                <w:rStyle w:val="tlid-translation"/>
                <w:rFonts w:asciiTheme="minorHAnsi" w:hAnsiTheme="minorHAnsi" w:cstheme="minorHAnsi"/>
                <w:sz w:val="22"/>
                <w:szCs w:val="22"/>
              </w:rPr>
              <w:t>tress-strain laws and yield and failure criteria of brittle materials for inelastic analyses.</w:t>
            </w:r>
          </w:p>
          <w:p w14:paraId="12AEB28C" w14:textId="48DF69B4" w:rsidR="005B2E4C" w:rsidRPr="006E75E2" w:rsidRDefault="005B2E4C" w:rsidP="00AB07F9">
            <w:pPr>
              <w:pStyle w:val="ListParagraph"/>
              <w:numPr>
                <w:ilvl w:val="0"/>
                <w:numId w:val="12"/>
              </w:numPr>
              <w:ind w:left="426"/>
              <w:rPr>
                <w:rStyle w:val="tlid-translation"/>
                <w:rFonts w:asciiTheme="minorHAnsi" w:hAnsiTheme="minorHAnsi" w:cstheme="minorHAnsi"/>
              </w:rPr>
            </w:pPr>
            <w:r w:rsidRPr="006E75E2">
              <w:rPr>
                <w:rStyle w:val="tlid-translation"/>
                <w:rFonts w:asciiTheme="minorHAnsi" w:hAnsiTheme="minorHAnsi" w:cstheme="minorHAnsi"/>
                <w:sz w:val="22"/>
                <w:szCs w:val="22"/>
              </w:rPr>
              <w:t>Modern methods of solving nonlinear equations.</w:t>
            </w:r>
          </w:p>
          <w:p w14:paraId="53046BD1" w14:textId="2D411032" w:rsidR="005B2E4C" w:rsidRPr="006E75E2" w:rsidRDefault="005B2E4C" w:rsidP="00AB07F9">
            <w:pPr>
              <w:pStyle w:val="ListParagraph"/>
              <w:numPr>
                <w:ilvl w:val="0"/>
                <w:numId w:val="12"/>
              </w:numPr>
              <w:ind w:left="426"/>
              <w:rPr>
                <w:rStyle w:val="tlid-translation"/>
                <w:rFonts w:asciiTheme="minorHAnsi" w:hAnsiTheme="minorHAnsi" w:cstheme="minorHAnsi"/>
              </w:rPr>
            </w:pPr>
            <w:r w:rsidRPr="006E75E2">
              <w:rPr>
                <w:rStyle w:val="tlid-translation"/>
                <w:rFonts w:asciiTheme="minorHAnsi" w:hAnsiTheme="minorHAnsi" w:cstheme="minorHAnsi"/>
                <w:sz w:val="22"/>
                <w:szCs w:val="22"/>
              </w:rPr>
              <w:t>Material and geometric nonlinearities.</w:t>
            </w:r>
          </w:p>
          <w:p w14:paraId="6BA90B49" w14:textId="4A73A39A" w:rsidR="005B2E4C" w:rsidRPr="006E75E2" w:rsidRDefault="005B2E4C" w:rsidP="00AB07F9">
            <w:pPr>
              <w:pStyle w:val="ListParagraph"/>
              <w:numPr>
                <w:ilvl w:val="0"/>
                <w:numId w:val="12"/>
              </w:numPr>
              <w:ind w:left="426"/>
              <w:rPr>
                <w:rStyle w:val="tlid-translation"/>
                <w:rFonts w:asciiTheme="minorHAnsi" w:hAnsiTheme="minorHAnsi" w:cstheme="minorHAnsi"/>
              </w:rPr>
            </w:pPr>
            <w:r w:rsidRPr="006E75E2">
              <w:rPr>
                <w:rStyle w:val="tlid-translation"/>
                <w:rFonts w:asciiTheme="minorHAnsi" w:hAnsiTheme="minorHAnsi" w:cstheme="minorHAnsi"/>
                <w:sz w:val="22"/>
                <w:szCs w:val="22"/>
              </w:rPr>
              <w:t>Simulation of structures and applied loadings.</w:t>
            </w:r>
          </w:p>
          <w:p w14:paraId="4F22F1F8" w14:textId="3E4557BA" w:rsidR="005B2E4C" w:rsidRPr="006E75E2" w:rsidRDefault="005B2E4C" w:rsidP="00AB07F9">
            <w:pPr>
              <w:pStyle w:val="ListParagraph"/>
              <w:numPr>
                <w:ilvl w:val="0"/>
                <w:numId w:val="12"/>
              </w:numPr>
              <w:ind w:left="426"/>
              <w:rPr>
                <w:rStyle w:val="tlid-translation"/>
                <w:rFonts w:asciiTheme="minorHAnsi" w:hAnsiTheme="minorHAnsi" w:cstheme="minorHAnsi"/>
              </w:rPr>
            </w:pPr>
            <w:r w:rsidRPr="006E75E2">
              <w:rPr>
                <w:rStyle w:val="tlid-translation"/>
                <w:rFonts w:asciiTheme="minorHAnsi" w:hAnsiTheme="minorHAnsi" w:cstheme="minorHAnsi"/>
                <w:sz w:val="22"/>
                <w:szCs w:val="22"/>
              </w:rPr>
              <w:t xml:space="preserve">Analysis of </w:t>
            </w:r>
            <w:r w:rsidR="006E75E2" w:rsidRPr="006E75E2">
              <w:rPr>
                <w:rStyle w:val="tlid-translation"/>
                <w:rFonts w:asciiTheme="minorHAnsi" w:hAnsiTheme="minorHAnsi" w:cstheme="minorHAnsi"/>
                <w:sz w:val="22"/>
                <w:szCs w:val="22"/>
              </w:rPr>
              <w:t xml:space="preserve">building </w:t>
            </w:r>
            <w:r w:rsidRPr="006E75E2">
              <w:rPr>
                <w:rStyle w:val="tlid-translation"/>
                <w:rFonts w:asciiTheme="minorHAnsi" w:hAnsiTheme="minorHAnsi" w:cstheme="minorHAnsi"/>
                <w:sz w:val="22"/>
                <w:szCs w:val="22"/>
              </w:rPr>
              <w:t>structures for extreme actions such as</w:t>
            </w:r>
            <w:r w:rsidR="00AB07F9" w:rsidRPr="001A29F5">
              <w:rPr>
                <w:rStyle w:val="tlid-translation"/>
                <w:rFonts w:cstheme="minorHAnsi"/>
                <w:sz w:val="22"/>
                <w:szCs w:val="22"/>
              </w:rPr>
              <w:t>:</w:t>
            </w:r>
            <w:r w:rsidRPr="006E75E2">
              <w:rPr>
                <w:rStyle w:val="tlid-translation"/>
                <w:rFonts w:asciiTheme="minorHAnsi" w:hAnsiTheme="minorHAnsi" w:cstheme="minorHAnsi"/>
                <w:sz w:val="22"/>
                <w:szCs w:val="22"/>
              </w:rPr>
              <w:t xml:space="preserve"> earthquake, blast, tsunami waves, wind pressure, impact and progressive collapse.</w:t>
            </w:r>
          </w:p>
          <w:p w14:paraId="3CA72F06" w14:textId="63CF4214" w:rsidR="00446A11" w:rsidRPr="005B2E4C" w:rsidRDefault="005B2E4C" w:rsidP="00AB07F9">
            <w:pPr>
              <w:pStyle w:val="ListParagraph"/>
              <w:numPr>
                <w:ilvl w:val="0"/>
                <w:numId w:val="12"/>
              </w:numPr>
              <w:autoSpaceDE w:val="0"/>
              <w:autoSpaceDN w:val="0"/>
              <w:adjustRightInd w:val="0"/>
              <w:ind w:left="426"/>
              <w:rPr>
                <w:rFonts w:cs="Arial"/>
                <w:color w:val="002060"/>
                <w:sz w:val="20"/>
                <w:szCs w:val="20"/>
              </w:rPr>
            </w:pPr>
            <w:r w:rsidRPr="006E75E2">
              <w:rPr>
                <w:rStyle w:val="tlid-translation"/>
                <w:rFonts w:asciiTheme="minorHAnsi" w:hAnsiTheme="minorHAnsi" w:cstheme="minorHAnsi"/>
                <w:sz w:val="22"/>
                <w:szCs w:val="22"/>
              </w:rPr>
              <w:t>Applications, using specialized software.</w:t>
            </w:r>
          </w:p>
        </w:tc>
      </w:tr>
    </w:tbl>
    <w:p w14:paraId="1566D0CE" w14:textId="77777777" w:rsidR="00C36535" w:rsidRPr="00446A11" w:rsidRDefault="00C36535" w:rsidP="00C36535">
      <w:pPr>
        <w:widowControl w:val="0"/>
        <w:autoSpaceDE w:val="0"/>
        <w:autoSpaceDN w:val="0"/>
        <w:adjustRightInd w:val="0"/>
        <w:spacing w:before="120" w:after="200" w:line="276" w:lineRule="auto"/>
        <w:rPr>
          <w:rFonts w:asciiTheme="majorHAnsi" w:hAnsiTheme="majorHAnsi" w:cs="Arial"/>
          <w:b/>
          <w:color w:val="000000"/>
          <w:sz w:val="22"/>
          <w:szCs w:val="22"/>
        </w:rPr>
      </w:pPr>
    </w:p>
    <w:p w14:paraId="24652982" w14:textId="77777777" w:rsidR="00CC1EC5" w:rsidRPr="006403CB" w:rsidRDefault="00CC1EC5" w:rsidP="001A7AFC">
      <w:pPr>
        <w:widowControl w:val="0"/>
        <w:numPr>
          <w:ilvl w:val="0"/>
          <w:numId w:val="1"/>
        </w:numPr>
        <w:autoSpaceDE w:val="0"/>
        <w:autoSpaceDN w:val="0"/>
        <w:adjustRightInd w:val="0"/>
        <w:spacing w:before="12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TEACHING and LEARNING METHODS - EVALUATION</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6"/>
        <w:gridCol w:w="5166"/>
      </w:tblGrid>
      <w:tr w:rsidR="00CC1EC5" w:rsidRPr="006403CB" w14:paraId="53837AA1" w14:textId="77777777" w:rsidTr="009F38D4">
        <w:tc>
          <w:tcPr>
            <w:tcW w:w="3306" w:type="dxa"/>
            <w:shd w:val="clear" w:color="auto" w:fill="D0CECE" w:themeFill="background2" w:themeFillShade="E6"/>
          </w:tcPr>
          <w:p w14:paraId="57F61C51"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DELIVERY</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Face-to-face, Distance learning, etc.</w:t>
            </w:r>
          </w:p>
        </w:tc>
        <w:tc>
          <w:tcPr>
            <w:tcW w:w="5166" w:type="dxa"/>
            <w:vAlign w:val="center"/>
          </w:tcPr>
          <w:p w14:paraId="17A94331" w14:textId="276BB9F6" w:rsidR="00CC1EC5" w:rsidRPr="009F38D4" w:rsidRDefault="009F38D4" w:rsidP="009F38D4">
            <w:pPr>
              <w:rPr>
                <w:rFonts w:asciiTheme="minorHAnsi" w:eastAsia="Calibri" w:hAnsiTheme="minorHAnsi" w:cstheme="minorHAnsi"/>
                <w:iCs/>
                <w:color w:val="002060"/>
              </w:rPr>
            </w:pPr>
            <w:r>
              <w:rPr>
                <w:rFonts w:asciiTheme="minorHAnsi" w:eastAsia="Calibri" w:hAnsiTheme="minorHAnsi" w:cstheme="minorHAnsi"/>
                <w:iCs/>
                <w:color w:val="002060"/>
              </w:rPr>
              <w:t>Lectures in classroom</w:t>
            </w:r>
          </w:p>
        </w:tc>
      </w:tr>
      <w:tr w:rsidR="00CC1EC5" w:rsidRPr="006403CB" w14:paraId="20EC710A" w14:textId="77777777" w:rsidTr="00E30CBA">
        <w:tc>
          <w:tcPr>
            <w:tcW w:w="3306" w:type="dxa"/>
            <w:shd w:val="clear" w:color="auto" w:fill="D0CECE" w:themeFill="background2" w:themeFillShade="E6"/>
          </w:tcPr>
          <w:p w14:paraId="7604456E" w14:textId="77777777" w:rsidR="00CC1EC5" w:rsidRPr="006403CB" w:rsidRDefault="00CC1EC5" w:rsidP="00E30CBA">
            <w:pPr>
              <w:jc w:val="right"/>
              <w:rPr>
                <w:rFonts w:asciiTheme="majorHAnsi" w:hAnsiTheme="majorHAnsi" w:cs="Arial"/>
                <w:i/>
                <w:sz w:val="16"/>
                <w:szCs w:val="16"/>
                <w:lang w:val="en-GB"/>
              </w:rPr>
            </w:pPr>
            <w:r w:rsidRPr="006403CB">
              <w:rPr>
                <w:rFonts w:asciiTheme="majorHAnsi" w:hAnsiTheme="majorHAnsi" w:cs="Arial"/>
                <w:b/>
                <w:sz w:val="20"/>
                <w:szCs w:val="20"/>
                <w:lang w:val="en-GB"/>
              </w:rPr>
              <w:t>USE OF IN</w:t>
            </w:r>
            <w:r>
              <w:rPr>
                <w:rFonts w:asciiTheme="majorHAnsi" w:hAnsiTheme="majorHAnsi" w:cs="Arial"/>
                <w:b/>
                <w:sz w:val="20"/>
                <w:szCs w:val="20"/>
                <w:lang w:val="en-GB"/>
              </w:rPr>
              <w:t>F</w:t>
            </w:r>
            <w:r w:rsidRPr="006403CB">
              <w:rPr>
                <w:rFonts w:asciiTheme="majorHAnsi" w:hAnsiTheme="majorHAnsi" w:cs="Arial"/>
                <w:b/>
                <w:sz w:val="20"/>
                <w:szCs w:val="20"/>
                <w:lang w:val="en-GB"/>
              </w:rPr>
              <w:t>ORMATION AND COMMUNICATION</w:t>
            </w:r>
            <w:r>
              <w:rPr>
                <w:rFonts w:asciiTheme="majorHAnsi" w:hAnsiTheme="majorHAnsi" w:cs="Arial"/>
                <w:b/>
                <w:sz w:val="20"/>
                <w:szCs w:val="20"/>
                <w:lang w:val="en-GB"/>
              </w:rPr>
              <w:t>S</w:t>
            </w:r>
            <w:r w:rsidRPr="006403CB">
              <w:rPr>
                <w:rFonts w:asciiTheme="majorHAnsi" w:hAnsiTheme="majorHAnsi" w:cs="Arial"/>
                <w:b/>
                <w:sz w:val="20"/>
                <w:szCs w:val="20"/>
                <w:lang w:val="en-GB"/>
              </w:rPr>
              <w:t xml:space="preserve"> TECHNOLOGY </w:t>
            </w:r>
            <w:r w:rsidRPr="006403CB">
              <w:rPr>
                <w:rFonts w:asciiTheme="majorHAnsi" w:hAnsiTheme="majorHAnsi" w:cs="Arial"/>
                <w:b/>
                <w:sz w:val="20"/>
                <w:szCs w:val="20"/>
                <w:lang w:val="en-GB"/>
              </w:rPr>
              <w:br/>
            </w:r>
            <w:r w:rsidRPr="006403CB">
              <w:rPr>
                <w:rFonts w:asciiTheme="majorHAnsi" w:hAnsiTheme="majorHAnsi" w:cs="Arial"/>
                <w:i/>
                <w:sz w:val="16"/>
                <w:szCs w:val="16"/>
                <w:lang w:val="en-GB"/>
              </w:rPr>
              <w:t>Use of ICT in teaching, laboratory education, communication with students</w:t>
            </w:r>
          </w:p>
        </w:tc>
        <w:tc>
          <w:tcPr>
            <w:tcW w:w="5166" w:type="dxa"/>
            <w:tcBorders>
              <w:bottom w:val="single" w:sz="4" w:space="0" w:color="auto"/>
            </w:tcBorders>
          </w:tcPr>
          <w:p w14:paraId="0358CB0D" w14:textId="0E889D61" w:rsidR="009F38D4" w:rsidRPr="009F38D4" w:rsidRDefault="009F38D4" w:rsidP="009F38D4">
            <w:pPr>
              <w:pStyle w:val="ListParagraph"/>
              <w:numPr>
                <w:ilvl w:val="0"/>
                <w:numId w:val="13"/>
              </w:numPr>
              <w:ind w:left="377"/>
              <w:rPr>
                <w:rFonts w:asciiTheme="minorHAnsi" w:hAnsiTheme="minorHAnsi" w:cstheme="minorHAnsi"/>
                <w:lang w:val="en-GB"/>
              </w:rPr>
            </w:pPr>
            <w:r w:rsidRPr="009F38D4">
              <w:rPr>
                <w:rStyle w:val="tlid-translation"/>
                <w:rFonts w:asciiTheme="minorHAnsi" w:hAnsiTheme="minorHAnsi" w:cstheme="minorHAnsi"/>
                <w:sz w:val="22"/>
                <w:szCs w:val="22"/>
              </w:rPr>
              <w:t>Specialized software for structural analysis.</w:t>
            </w:r>
          </w:p>
          <w:p w14:paraId="1CE89017" w14:textId="206FCA4A" w:rsidR="00CC1EC5" w:rsidRPr="009F38D4" w:rsidRDefault="009F38D4" w:rsidP="009F38D4">
            <w:pPr>
              <w:pStyle w:val="ListParagraph"/>
              <w:numPr>
                <w:ilvl w:val="0"/>
                <w:numId w:val="13"/>
              </w:numPr>
              <w:ind w:left="377"/>
              <w:rPr>
                <w:rFonts w:asciiTheme="minorHAnsi" w:hAnsiTheme="minorHAnsi" w:cstheme="minorHAnsi"/>
                <w:lang w:val="en-GB"/>
              </w:rPr>
            </w:pPr>
            <w:r w:rsidRPr="009F38D4">
              <w:rPr>
                <w:rFonts w:asciiTheme="minorHAnsi" w:hAnsiTheme="minorHAnsi" w:cstheme="minorHAnsi"/>
                <w:sz w:val="22"/>
                <w:szCs w:val="22"/>
                <w:lang w:val="en-GB"/>
              </w:rPr>
              <w:t>Support of the learning process through the electronic platform eclass.</w:t>
            </w:r>
          </w:p>
        </w:tc>
      </w:tr>
      <w:tr w:rsidR="00CC1EC5" w:rsidRPr="006403CB" w14:paraId="09F652B0" w14:textId="77777777" w:rsidTr="00E30CBA">
        <w:tc>
          <w:tcPr>
            <w:tcW w:w="3306" w:type="dxa"/>
            <w:shd w:val="clear" w:color="auto" w:fill="D0CECE" w:themeFill="background2" w:themeFillShade="E6"/>
          </w:tcPr>
          <w:p w14:paraId="29B94654"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t>TEACHING METHODS</w:t>
            </w:r>
          </w:p>
          <w:p w14:paraId="43CBD91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The manner and methods of teaching are described in detail.</w:t>
            </w:r>
          </w:p>
          <w:p w14:paraId="7E54E3C8"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Lectures, seminars, laboratory practice, fieldwork, study and analysis of bibliography, tutorials, placements, clinical practice, art workshop, interactive teaching, educational visits, project, essay writing, artistic creativity, etc.</w:t>
            </w:r>
          </w:p>
          <w:p w14:paraId="19B35CFB" w14:textId="77777777" w:rsidR="00CC1EC5" w:rsidRPr="006403CB" w:rsidRDefault="00CC1EC5" w:rsidP="00E30CBA">
            <w:pPr>
              <w:jc w:val="both"/>
              <w:rPr>
                <w:rFonts w:asciiTheme="majorHAnsi" w:hAnsiTheme="majorHAnsi" w:cs="Arial"/>
                <w:i/>
                <w:sz w:val="16"/>
                <w:szCs w:val="16"/>
                <w:lang w:val="en-GB"/>
              </w:rPr>
            </w:pPr>
          </w:p>
          <w:p w14:paraId="1102BD43"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xml:space="preserve">The student's study hours for each learning activity are given as well as the hours of non-directed study according to the principles of the </w:t>
            </w:r>
            <w:r w:rsidRPr="006403CB">
              <w:rPr>
                <w:rFonts w:asciiTheme="majorHAnsi" w:hAnsiTheme="majorHAnsi" w:cs="Arial"/>
                <w:i/>
                <w:sz w:val="16"/>
                <w:szCs w:val="16"/>
                <w:lang w:val="en-GB"/>
              </w:rPr>
              <w:lastRenderedPageBreak/>
              <w:t>ECTS</w:t>
            </w:r>
          </w:p>
        </w:tc>
        <w:tc>
          <w:tcPr>
            <w:tcW w:w="5166" w:type="dxa"/>
            <w:tcBorders>
              <w:bottom w:val="single" w:sz="4" w:space="0" w:color="auto"/>
            </w:tcBorders>
          </w:tcPr>
          <w:tbl>
            <w:tblPr>
              <w:tblStyle w:val="TableGrid3"/>
              <w:tblW w:w="0" w:type="auto"/>
              <w:tblLook w:val="04A0" w:firstRow="1" w:lastRow="0" w:firstColumn="1" w:lastColumn="0" w:noHBand="0" w:noVBand="1"/>
            </w:tblPr>
            <w:tblGrid>
              <w:gridCol w:w="2467"/>
              <w:gridCol w:w="2468"/>
            </w:tblGrid>
            <w:tr w:rsidR="00CC1EC5" w:rsidRPr="006403CB" w14:paraId="544C7486" w14:textId="77777777" w:rsidTr="00E30CBA">
              <w:tc>
                <w:tcPr>
                  <w:tcW w:w="2467" w:type="dxa"/>
                  <w:shd w:val="clear" w:color="auto" w:fill="D0CECE" w:themeFill="background2" w:themeFillShade="E6"/>
                  <w:vAlign w:val="center"/>
                </w:tcPr>
                <w:p w14:paraId="31237008"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lastRenderedPageBreak/>
                    <w:t>Activity</w:t>
                  </w:r>
                </w:p>
              </w:tc>
              <w:tc>
                <w:tcPr>
                  <w:tcW w:w="2468" w:type="dxa"/>
                  <w:shd w:val="clear" w:color="auto" w:fill="D0CECE" w:themeFill="background2" w:themeFillShade="E6"/>
                  <w:vAlign w:val="center"/>
                </w:tcPr>
                <w:p w14:paraId="378DC1B1" w14:textId="77777777" w:rsidR="00CC1EC5" w:rsidRPr="006403CB" w:rsidRDefault="00CC1EC5" w:rsidP="00E30CBA">
                  <w:pPr>
                    <w:jc w:val="center"/>
                    <w:rPr>
                      <w:rFonts w:asciiTheme="majorHAnsi" w:hAnsiTheme="majorHAnsi" w:cs="Arial"/>
                      <w:b/>
                      <w:i/>
                      <w:sz w:val="20"/>
                      <w:szCs w:val="20"/>
                      <w:lang w:val="en-GB"/>
                    </w:rPr>
                  </w:pPr>
                  <w:r w:rsidRPr="006403CB">
                    <w:rPr>
                      <w:rFonts w:asciiTheme="majorHAnsi" w:hAnsiTheme="majorHAnsi" w:cs="Arial"/>
                      <w:b/>
                      <w:i/>
                      <w:sz w:val="20"/>
                      <w:szCs w:val="20"/>
                      <w:lang w:val="en-GB"/>
                    </w:rPr>
                    <w:t>Semester workload</w:t>
                  </w:r>
                </w:p>
              </w:tc>
            </w:tr>
            <w:tr w:rsidR="0012257C" w:rsidRPr="006403CB" w14:paraId="16D3C5FD" w14:textId="77777777" w:rsidTr="00E30CBA">
              <w:tc>
                <w:tcPr>
                  <w:tcW w:w="2467" w:type="dxa"/>
                </w:tcPr>
                <w:p w14:paraId="141F0EA0" w14:textId="5CA7C003" w:rsidR="0012257C" w:rsidRPr="00910E45" w:rsidRDefault="00DF6EC8" w:rsidP="0012257C">
                  <w:pPr>
                    <w:rPr>
                      <w:rFonts w:asciiTheme="minorHAnsi" w:hAnsiTheme="minorHAnsi" w:cstheme="minorHAnsi"/>
                      <w:iCs/>
                      <w:sz w:val="22"/>
                      <w:szCs w:val="22"/>
                      <w:lang w:val="en-GB"/>
                    </w:rPr>
                  </w:pPr>
                  <w:r w:rsidRPr="00910E45">
                    <w:rPr>
                      <w:rFonts w:asciiTheme="minorHAnsi" w:hAnsiTheme="minorHAnsi" w:cstheme="minorHAnsi"/>
                      <w:sz w:val="22"/>
                      <w:szCs w:val="22"/>
                    </w:rPr>
                    <w:t>Lectures</w:t>
                  </w:r>
                </w:p>
              </w:tc>
              <w:tc>
                <w:tcPr>
                  <w:tcW w:w="2468" w:type="dxa"/>
                </w:tcPr>
                <w:p w14:paraId="0680D0B8" w14:textId="6B426E9D" w:rsidR="0012257C" w:rsidRPr="00910E45" w:rsidRDefault="0012257C" w:rsidP="0012257C">
                  <w:pPr>
                    <w:jc w:val="center"/>
                    <w:rPr>
                      <w:rFonts w:asciiTheme="minorHAnsi" w:hAnsiTheme="minorHAnsi" w:cstheme="minorHAnsi"/>
                      <w:sz w:val="22"/>
                      <w:szCs w:val="22"/>
                      <w:lang w:val="en-GB"/>
                    </w:rPr>
                  </w:pPr>
                  <w:r w:rsidRPr="00910E45">
                    <w:rPr>
                      <w:rFonts w:asciiTheme="minorHAnsi" w:hAnsiTheme="minorHAnsi" w:cstheme="minorHAnsi"/>
                      <w:sz w:val="22"/>
                      <w:szCs w:val="22"/>
                      <w:lang w:val="el-GR"/>
                    </w:rPr>
                    <w:t>39</w:t>
                  </w:r>
                </w:p>
              </w:tc>
            </w:tr>
            <w:tr w:rsidR="0012257C" w:rsidRPr="006403CB" w14:paraId="765A2EFF" w14:textId="77777777" w:rsidTr="00E30CBA">
              <w:tc>
                <w:tcPr>
                  <w:tcW w:w="2467" w:type="dxa"/>
                  <w:shd w:val="clear" w:color="auto" w:fill="auto"/>
                </w:tcPr>
                <w:p w14:paraId="555F35A7" w14:textId="45B3802E" w:rsidR="0012257C" w:rsidRPr="00910E45" w:rsidRDefault="00891367" w:rsidP="0012257C">
                  <w:pPr>
                    <w:rPr>
                      <w:rFonts w:asciiTheme="minorHAnsi" w:hAnsiTheme="minorHAnsi" w:cstheme="minorHAnsi"/>
                      <w:iCs/>
                      <w:sz w:val="22"/>
                      <w:szCs w:val="22"/>
                      <w:lang w:val="en-GB"/>
                    </w:rPr>
                  </w:pPr>
                  <w:r w:rsidRPr="00910E45">
                    <w:rPr>
                      <w:rFonts w:asciiTheme="minorHAnsi" w:hAnsiTheme="minorHAnsi" w:cstheme="minorHAnsi"/>
                      <w:sz w:val="22"/>
                      <w:szCs w:val="22"/>
                    </w:rPr>
                    <w:t>Project</w:t>
                  </w:r>
                </w:p>
              </w:tc>
              <w:tc>
                <w:tcPr>
                  <w:tcW w:w="2468" w:type="dxa"/>
                </w:tcPr>
                <w:p w14:paraId="409A3118" w14:textId="5F935F66" w:rsidR="0012257C" w:rsidRPr="00910E45" w:rsidRDefault="00910E45" w:rsidP="0012257C">
                  <w:pPr>
                    <w:jc w:val="center"/>
                    <w:rPr>
                      <w:rFonts w:asciiTheme="minorHAnsi" w:hAnsiTheme="minorHAnsi" w:cstheme="minorHAnsi"/>
                      <w:sz w:val="22"/>
                      <w:szCs w:val="22"/>
                      <w:lang w:val="en-GB"/>
                    </w:rPr>
                  </w:pPr>
                  <w:r>
                    <w:rPr>
                      <w:rFonts w:asciiTheme="minorHAnsi" w:hAnsiTheme="minorHAnsi" w:cstheme="minorHAnsi"/>
                      <w:sz w:val="22"/>
                      <w:szCs w:val="22"/>
                    </w:rPr>
                    <w:t>6</w:t>
                  </w:r>
                  <w:r w:rsidR="0012257C" w:rsidRPr="00910E45">
                    <w:rPr>
                      <w:rFonts w:asciiTheme="minorHAnsi" w:hAnsiTheme="minorHAnsi" w:cstheme="minorHAnsi"/>
                      <w:sz w:val="22"/>
                      <w:szCs w:val="22"/>
                      <w:lang w:val="el-GR"/>
                    </w:rPr>
                    <w:t>0</w:t>
                  </w:r>
                </w:p>
              </w:tc>
            </w:tr>
            <w:tr w:rsidR="0012257C" w:rsidRPr="006403CB" w14:paraId="6596D486" w14:textId="77777777" w:rsidTr="00E30CBA">
              <w:tc>
                <w:tcPr>
                  <w:tcW w:w="2467" w:type="dxa"/>
                  <w:shd w:val="clear" w:color="auto" w:fill="auto"/>
                </w:tcPr>
                <w:p w14:paraId="7CC9DF33" w14:textId="4354571B" w:rsidR="0012257C" w:rsidRPr="00910E45" w:rsidRDefault="00DF6EC8" w:rsidP="0012257C">
                  <w:pPr>
                    <w:rPr>
                      <w:rFonts w:asciiTheme="minorHAnsi" w:hAnsiTheme="minorHAnsi" w:cstheme="minorHAnsi"/>
                      <w:iCs/>
                      <w:sz w:val="22"/>
                      <w:szCs w:val="22"/>
                      <w:lang w:val="en-GB"/>
                    </w:rPr>
                  </w:pPr>
                  <w:r w:rsidRPr="00910E45">
                    <w:rPr>
                      <w:rFonts w:asciiTheme="minorHAnsi" w:hAnsiTheme="minorHAnsi" w:cstheme="minorHAnsi"/>
                      <w:sz w:val="22"/>
                      <w:szCs w:val="22"/>
                    </w:rPr>
                    <w:t>Independent Study</w:t>
                  </w:r>
                </w:p>
              </w:tc>
              <w:tc>
                <w:tcPr>
                  <w:tcW w:w="2468" w:type="dxa"/>
                </w:tcPr>
                <w:p w14:paraId="67849D63" w14:textId="5C6B5B6B" w:rsidR="0012257C" w:rsidRPr="00910E45" w:rsidRDefault="0012257C" w:rsidP="0012257C">
                  <w:pPr>
                    <w:jc w:val="center"/>
                    <w:rPr>
                      <w:rFonts w:asciiTheme="minorHAnsi" w:hAnsiTheme="minorHAnsi" w:cstheme="minorHAnsi"/>
                      <w:sz w:val="22"/>
                      <w:szCs w:val="22"/>
                      <w:lang w:val="en-GB"/>
                    </w:rPr>
                  </w:pPr>
                  <w:r w:rsidRPr="00910E45">
                    <w:rPr>
                      <w:rFonts w:asciiTheme="minorHAnsi" w:hAnsiTheme="minorHAnsi" w:cstheme="minorHAnsi"/>
                      <w:sz w:val="22"/>
                      <w:szCs w:val="22"/>
                      <w:lang w:val="el-GR"/>
                    </w:rPr>
                    <w:t>8</w:t>
                  </w:r>
                  <w:r w:rsidR="00910E45">
                    <w:rPr>
                      <w:rFonts w:asciiTheme="minorHAnsi" w:hAnsiTheme="minorHAnsi" w:cstheme="minorHAnsi"/>
                      <w:sz w:val="22"/>
                      <w:szCs w:val="22"/>
                    </w:rPr>
                    <w:t>8.</w:t>
                  </w:r>
                  <w:r w:rsidRPr="00910E45">
                    <w:rPr>
                      <w:rFonts w:asciiTheme="minorHAnsi" w:hAnsiTheme="minorHAnsi" w:cstheme="minorHAnsi"/>
                      <w:sz w:val="22"/>
                      <w:szCs w:val="22"/>
                      <w:lang w:val="el-GR"/>
                    </w:rPr>
                    <w:t>5</w:t>
                  </w:r>
                </w:p>
              </w:tc>
            </w:tr>
            <w:tr w:rsidR="00CC1EC5" w:rsidRPr="006403CB" w14:paraId="5095B2A5" w14:textId="77777777" w:rsidTr="00E30CBA">
              <w:tc>
                <w:tcPr>
                  <w:tcW w:w="2467" w:type="dxa"/>
                  <w:shd w:val="clear" w:color="auto" w:fill="auto"/>
                </w:tcPr>
                <w:p w14:paraId="666418A8" w14:textId="46EA9E0F" w:rsidR="00CC1EC5" w:rsidRPr="00910E45" w:rsidRDefault="00CC1EC5" w:rsidP="004F0EFA">
                  <w:pPr>
                    <w:rPr>
                      <w:rFonts w:asciiTheme="minorHAnsi" w:hAnsiTheme="minorHAnsi" w:cstheme="minorHAnsi"/>
                      <w:iCs/>
                      <w:sz w:val="22"/>
                      <w:szCs w:val="22"/>
                      <w:lang w:val="en-GB"/>
                    </w:rPr>
                  </w:pPr>
                </w:p>
              </w:tc>
              <w:tc>
                <w:tcPr>
                  <w:tcW w:w="2468" w:type="dxa"/>
                </w:tcPr>
                <w:p w14:paraId="2912C82A" w14:textId="39165F62" w:rsidR="00CC1EC5" w:rsidRPr="00910E45" w:rsidRDefault="00CC1EC5" w:rsidP="00E30CBA">
                  <w:pPr>
                    <w:jc w:val="center"/>
                    <w:rPr>
                      <w:rFonts w:asciiTheme="minorHAnsi" w:hAnsiTheme="minorHAnsi" w:cstheme="minorHAnsi"/>
                      <w:sz w:val="22"/>
                      <w:szCs w:val="22"/>
                      <w:lang w:val="en-GB"/>
                    </w:rPr>
                  </w:pPr>
                </w:p>
              </w:tc>
            </w:tr>
            <w:tr w:rsidR="00CC1EC5" w:rsidRPr="006403CB" w14:paraId="1CB62D84" w14:textId="77777777" w:rsidTr="00E30CBA">
              <w:tc>
                <w:tcPr>
                  <w:tcW w:w="2467" w:type="dxa"/>
                  <w:shd w:val="clear" w:color="auto" w:fill="auto"/>
                </w:tcPr>
                <w:p w14:paraId="19F35769" w14:textId="6BC54AB5" w:rsidR="00CC1EC5" w:rsidRPr="00910E45" w:rsidRDefault="00CC1EC5" w:rsidP="004F0EFA">
                  <w:pPr>
                    <w:rPr>
                      <w:rFonts w:asciiTheme="minorHAnsi" w:hAnsiTheme="minorHAnsi" w:cstheme="minorHAnsi"/>
                      <w:iCs/>
                      <w:sz w:val="22"/>
                      <w:szCs w:val="22"/>
                      <w:lang w:val="en-GB"/>
                    </w:rPr>
                  </w:pPr>
                </w:p>
              </w:tc>
              <w:tc>
                <w:tcPr>
                  <w:tcW w:w="2468" w:type="dxa"/>
                </w:tcPr>
                <w:p w14:paraId="276D071A" w14:textId="430292E5" w:rsidR="00CC1EC5" w:rsidRPr="00910E45" w:rsidRDefault="00CC1EC5" w:rsidP="00E30CBA">
                  <w:pPr>
                    <w:jc w:val="center"/>
                    <w:rPr>
                      <w:rFonts w:asciiTheme="minorHAnsi" w:hAnsiTheme="minorHAnsi" w:cstheme="minorHAnsi"/>
                      <w:sz w:val="22"/>
                      <w:szCs w:val="22"/>
                      <w:lang w:val="en-GB"/>
                    </w:rPr>
                  </w:pPr>
                </w:p>
              </w:tc>
            </w:tr>
            <w:tr w:rsidR="00FD2CCD" w:rsidRPr="006403CB" w14:paraId="0378692B" w14:textId="77777777" w:rsidTr="00E30CBA">
              <w:tc>
                <w:tcPr>
                  <w:tcW w:w="2467" w:type="dxa"/>
                  <w:shd w:val="clear" w:color="auto" w:fill="auto"/>
                </w:tcPr>
                <w:p w14:paraId="13FCD5DB" w14:textId="22D3C86D" w:rsidR="00FD2CCD" w:rsidRPr="00910E45" w:rsidRDefault="00FD2CCD" w:rsidP="004F0EFA">
                  <w:pPr>
                    <w:rPr>
                      <w:rFonts w:asciiTheme="minorHAnsi" w:hAnsiTheme="minorHAnsi" w:cstheme="minorHAnsi"/>
                      <w:iCs/>
                      <w:sz w:val="22"/>
                      <w:szCs w:val="22"/>
                      <w:lang w:val="en-GB"/>
                    </w:rPr>
                  </w:pPr>
                </w:p>
              </w:tc>
              <w:tc>
                <w:tcPr>
                  <w:tcW w:w="2468" w:type="dxa"/>
                </w:tcPr>
                <w:p w14:paraId="65A4EF2C" w14:textId="54CA2E49" w:rsidR="00FD2CCD" w:rsidRPr="00910E45" w:rsidRDefault="00FD2CCD" w:rsidP="006C395B">
                  <w:pPr>
                    <w:jc w:val="center"/>
                    <w:rPr>
                      <w:rFonts w:asciiTheme="minorHAnsi" w:hAnsiTheme="minorHAnsi" w:cstheme="minorHAnsi"/>
                      <w:sz w:val="22"/>
                      <w:szCs w:val="22"/>
                      <w:lang w:val="en-GB"/>
                    </w:rPr>
                  </w:pPr>
                </w:p>
              </w:tc>
            </w:tr>
            <w:tr w:rsidR="00FD2CCD" w:rsidRPr="006403CB" w14:paraId="3AC85E10" w14:textId="77777777" w:rsidTr="00E30CBA">
              <w:tc>
                <w:tcPr>
                  <w:tcW w:w="2467" w:type="dxa"/>
                  <w:shd w:val="clear" w:color="auto" w:fill="auto"/>
                </w:tcPr>
                <w:p w14:paraId="3D67459A" w14:textId="25F5DDFF" w:rsidR="00FD2CCD" w:rsidRPr="00910E45" w:rsidRDefault="00FD2CCD" w:rsidP="00460F4A">
                  <w:pPr>
                    <w:rPr>
                      <w:rFonts w:asciiTheme="minorHAnsi" w:hAnsiTheme="minorHAnsi" w:cstheme="minorHAnsi"/>
                      <w:iCs/>
                      <w:sz w:val="22"/>
                      <w:szCs w:val="22"/>
                      <w:lang w:val="en-GB"/>
                    </w:rPr>
                  </w:pPr>
                </w:p>
              </w:tc>
              <w:tc>
                <w:tcPr>
                  <w:tcW w:w="2468" w:type="dxa"/>
                </w:tcPr>
                <w:p w14:paraId="3DE5FA84" w14:textId="6B5E9137" w:rsidR="00FD2CCD" w:rsidRPr="00910E45" w:rsidRDefault="00FD2CCD" w:rsidP="006C395B">
                  <w:pPr>
                    <w:jc w:val="center"/>
                    <w:rPr>
                      <w:rFonts w:asciiTheme="minorHAnsi" w:hAnsiTheme="minorHAnsi" w:cstheme="minorHAnsi"/>
                      <w:sz w:val="22"/>
                      <w:szCs w:val="22"/>
                      <w:lang w:val="en-GB"/>
                    </w:rPr>
                  </w:pPr>
                </w:p>
              </w:tc>
            </w:tr>
            <w:tr w:rsidR="00FD2CCD" w:rsidRPr="006403CB" w14:paraId="4E6C3BC3" w14:textId="77777777" w:rsidTr="00E30CBA">
              <w:tc>
                <w:tcPr>
                  <w:tcW w:w="2467" w:type="dxa"/>
                  <w:shd w:val="clear" w:color="auto" w:fill="auto"/>
                </w:tcPr>
                <w:p w14:paraId="33CD69EC" w14:textId="77777777" w:rsidR="00FD2CCD" w:rsidRPr="00910E45" w:rsidRDefault="00FD2CCD" w:rsidP="00E30CBA">
                  <w:pPr>
                    <w:rPr>
                      <w:rFonts w:asciiTheme="minorHAnsi" w:hAnsiTheme="minorHAnsi" w:cstheme="minorHAnsi"/>
                      <w:iCs/>
                      <w:sz w:val="22"/>
                      <w:szCs w:val="22"/>
                      <w:lang w:val="en-GB"/>
                    </w:rPr>
                  </w:pPr>
                </w:p>
              </w:tc>
              <w:tc>
                <w:tcPr>
                  <w:tcW w:w="2468" w:type="dxa"/>
                </w:tcPr>
                <w:p w14:paraId="6A6561F7" w14:textId="77777777" w:rsidR="00FD2CCD" w:rsidRPr="00910E45" w:rsidRDefault="00FD2CCD" w:rsidP="00E30CBA">
                  <w:pPr>
                    <w:rPr>
                      <w:rFonts w:asciiTheme="minorHAnsi" w:hAnsiTheme="minorHAnsi" w:cstheme="minorHAnsi"/>
                      <w:i/>
                      <w:sz w:val="22"/>
                      <w:szCs w:val="22"/>
                      <w:lang w:val="en-GB"/>
                    </w:rPr>
                  </w:pPr>
                </w:p>
              </w:tc>
            </w:tr>
            <w:tr w:rsidR="00FD2CCD" w:rsidRPr="006403CB" w14:paraId="46709A47" w14:textId="77777777" w:rsidTr="00E30CBA">
              <w:tc>
                <w:tcPr>
                  <w:tcW w:w="2467" w:type="dxa"/>
                  <w:shd w:val="clear" w:color="auto" w:fill="auto"/>
                </w:tcPr>
                <w:p w14:paraId="293D8B6C" w14:textId="77777777" w:rsidR="00FD2CCD" w:rsidRPr="00910E45" w:rsidRDefault="00FD2CCD" w:rsidP="00E30CBA">
                  <w:pPr>
                    <w:rPr>
                      <w:rFonts w:asciiTheme="minorHAnsi" w:hAnsiTheme="minorHAnsi" w:cstheme="minorHAnsi"/>
                      <w:iCs/>
                      <w:sz w:val="22"/>
                      <w:szCs w:val="22"/>
                      <w:lang w:val="en-GB"/>
                    </w:rPr>
                  </w:pPr>
                </w:p>
              </w:tc>
              <w:tc>
                <w:tcPr>
                  <w:tcW w:w="2468" w:type="dxa"/>
                </w:tcPr>
                <w:p w14:paraId="391A7112" w14:textId="77777777" w:rsidR="00FD2CCD" w:rsidRPr="00910E45" w:rsidRDefault="00FD2CCD" w:rsidP="00E30CBA">
                  <w:pPr>
                    <w:jc w:val="center"/>
                    <w:rPr>
                      <w:rFonts w:asciiTheme="minorHAnsi" w:hAnsiTheme="minorHAnsi" w:cstheme="minorHAnsi"/>
                      <w:sz w:val="22"/>
                      <w:szCs w:val="22"/>
                      <w:lang w:val="en-GB"/>
                    </w:rPr>
                  </w:pPr>
                </w:p>
              </w:tc>
            </w:tr>
            <w:tr w:rsidR="00FD2CCD" w:rsidRPr="006403CB" w14:paraId="4CBAC4ED" w14:textId="77777777" w:rsidTr="00E30CBA">
              <w:tc>
                <w:tcPr>
                  <w:tcW w:w="2467" w:type="dxa"/>
                </w:tcPr>
                <w:p w14:paraId="68DB6E5B" w14:textId="77777777" w:rsidR="00FD2CCD" w:rsidRPr="00910E45" w:rsidRDefault="00FD2CCD" w:rsidP="00E30CBA">
                  <w:pPr>
                    <w:rPr>
                      <w:rFonts w:asciiTheme="minorHAnsi" w:hAnsiTheme="minorHAnsi" w:cstheme="minorHAnsi"/>
                      <w:i/>
                      <w:iCs/>
                      <w:sz w:val="22"/>
                      <w:szCs w:val="22"/>
                      <w:lang w:val="en-GB"/>
                    </w:rPr>
                  </w:pPr>
                  <w:r w:rsidRPr="00910E45">
                    <w:rPr>
                      <w:rFonts w:asciiTheme="minorHAnsi" w:hAnsiTheme="minorHAnsi" w:cstheme="minorHAnsi"/>
                      <w:i/>
                      <w:iCs/>
                      <w:sz w:val="22"/>
                      <w:szCs w:val="22"/>
                      <w:lang w:val="en-GB"/>
                    </w:rPr>
                    <w:t xml:space="preserve">Course total </w:t>
                  </w:r>
                </w:p>
              </w:tc>
              <w:tc>
                <w:tcPr>
                  <w:tcW w:w="2468" w:type="dxa"/>
                  <w:vAlign w:val="center"/>
                </w:tcPr>
                <w:p w14:paraId="45258DB9" w14:textId="7D374B98" w:rsidR="00FD2CCD" w:rsidRPr="00910E45" w:rsidRDefault="00DF6EC8" w:rsidP="004156AD">
                  <w:pPr>
                    <w:jc w:val="center"/>
                    <w:rPr>
                      <w:rFonts w:asciiTheme="minorHAnsi" w:hAnsiTheme="minorHAnsi" w:cstheme="minorHAnsi"/>
                      <w:b/>
                      <w:i/>
                      <w:sz w:val="22"/>
                      <w:szCs w:val="22"/>
                    </w:rPr>
                  </w:pPr>
                  <w:r w:rsidRPr="00910E45">
                    <w:rPr>
                      <w:rFonts w:asciiTheme="minorHAnsi" w:hAnsiTheme="minorHAnsi" w:cstheme="minorHAnsi"/>
                      <w:b/>
                      <w:i/>
                      <w:sz w:val="22"/>
                      <w:szCs w:val="22"/>
                    </w:rPr>
                    <w:t>1</w:t>
                  </w:r>
                  <w:r w:rsidR="00910E45">
                    <w:rPr>
                      <w:rFonts w:asciiTheme="minorHAnsi" w:hAnsiTheme="minorHAnsi" w:cstheme="minorHAnsi"/>
                      <w:b/>
                      <w:i/>
                      <w:sz w:val="22"/>
                      <w:szCs w:val="22"/>
                    </w:rPr>
                    <w:t>8</w:t>
                  </w:r>
                  <w:r w:rsidRPr="00910E45">
                    <w:rPr>
                      <w:rFonts w:asciiTheme="minorHAnsi" w:hAnsiTheme="minorHAnsi" w:cstheme="minorHAnsi"/>
                      <w:b/>
                      <w:i/>
                      <w:sz w:val="22"/>
                      <w:szCs w:val="22"/>
                    </w:rPr>
                    <w:t>7</w:t>
                  </w:r>
                  <w:r w:rsidR="00910E45">
                    <w:rPr>
                      <w:rFonts w:asciiTheme="minorHAnsi" w:hAnsiTheme="minorHAnsi" w:cstheme="minorHAnsi"/>
                      <w:b/>
                      <w:i/>
                      <w:sz w:val="22"/>
                      <w:szCs w:val="22"/>
                    </w:rPr>
                    <w:t>.5</w:t>
                  </w:r>
                </w:p>
              </w:tc>
            </w:tr>
          </w:tbl>
          <w:p w14:paraId="3421A651" w14:textId="77777777" w:rsidR="00CC1EC5" w:rsidRPr="006403CB" w:rsidRDefault="00CC1EC5" w:rsidP="00E30CBA">
            <w:pPr>
              <w:rPr>
                <w:rFonts w:asciiTheme="majorHAnsi" w:hAnsiTheme="majorHAnsi" w:cs="Tahoma"/>
                <w:lang w:val="en-GB"/>
              </w:rPr>
            </w:pPr>
          </w:p>
        </w:tc>
      </w:tr>
      <w:tr w:rsidR="00CC1EC5" w:rsidRPr="006403CB" w14:paraId="201632E6" w14:textId="77777777" w:rsidTr="00D062ED">
        <w:tc>
          <w:tcPr>
            <w:tcW w:w="3306" w:type="dxa"/>
          </w:tcPr>
          <w:p w14:paraId="49CED492" w14:textId="77777777" w:rsidR="00CC1EC5" w:rsidRPr="006403CB" w:rsidRDefault="00CC1EC5" w:rsidP="00E30CBA">
            <w:pPr>
              <w:jc w:val="right"/>
              <w:rPr>
                <w:rFonts w:asciiTheme="majorHAnsi" w:hAnsiTheme="majorHAnsi" w:cs="Arial"/>
                <w:b/>
                <w:sz w:val="20"/>
                <w:szCs w:val="20"/>
                <w:lang w:val="en-GB"/>
              </w:rPr>
            </w:pPr>
            <w:r w:rsidRPr="006403CB">
              <w:rPr>
                <w:rFonts w:asciiTheme="majorHAnsi" w:hAnsiTheme="majorHAnsi" w:cs="Arial"/>
                <w:b/>
                <w:sz w:val="20"/>
                <w:szCs w:val="20"/>
                <w:lang w:val="en-GB"/>
              </w:rPr>
              <w:lastRenderedPageBreak/>
              <w:t>STUDENT PERFORMANCE EVALUATION</w:t>
            </w:r>
          </w:p>
          <w:p w14:paraId="1EBDCC71"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Description of the evaluation procedure</w:t>
            </w:r>
          </w:p>
          <w:p w14:paraId="7258D800" w14:textId="77777777" w:rsidR="00CC1EC5" w:rsidRPr="006403CB" w:rsidRDefault="00CC1EC5" w:rsidP="00E30CBA">
            <w:pPr>
              <w:jc w:val="both"/>
              <w:rPr>
                <w:rFonts w:asciiTheme="majorHAnsi" w:hAnsiTheme="majorHAnsi" w:cs="Arial"/>
                <w:i/>
                <w:sz w:val="16"/>
                <w:szCs w:val="16"/>
                <w:lang w:val="en-GB"/>
              </w:rPr>
            </w:pPr>
          </w:p>
          <w:p w14:paraId="556366BE"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Language of evaluation, methods of evaluation, summative or conclusive, multiple choice questionnaires, short-answer questions, open-ended questions, problem solving, written work, essay/report, oral examination, public presentation, laboratory work, clinical examination of patient, art interpretation, other</w:t>
            </w:r>
          </w:p>
          <w:p w14:paraId="616972D8" w14:textId="77777777" w:rsidR="00CC1EC5" w:rsidRPr="006403CB" w:rsidRDefault="00CC1EC5" w:rsidP="00E30CBA">
            <w:pPr>
              <w:jc w:val="both"/>
              <w:rPr>
                <w:rFonts w:asciiTheme="majorHAnsi" w:hAnsiTheme="majorHAnsi" w:cs="Arial"/>
                <w:i/>
                <w:sz w:val="16"/>
                <w:szCs w:val="16"/>
                <w:lang w:val="en-GB"/>
              </w:rPr>
            </w:pPr>
          </w:p>
          <w:p w14:paraId="2567B0EC" w14:textId="77777777" w:rsidR="00CC1EC5" w:rsidRPr="006403CB"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Specifically-defined evaluation criteria are given, and if and where they are accessible to students.</w:t>
            </w:r>
          </w:p>
        </w:tc>
        <w:tc>
          <w:tcPr>
            <w:tcW w:w="5166" w:type="dxa"/>
            <w:tcBorders>
              <w:bottom w:val="single" w:sz="4" w:space="0" w:color="auto"/>
            </w:tcBorders>
            <w:vAlign w:val="center"/>
          </w:tcPr>
          <w:p w14:paraId="4221A726" w14:textId="57C0352D" w:rsidR="00CC1EC5" w:rsidRPr="00D062ED" w:rsidRDefault="00D062ED" w:rsidP="00E30CBA">
            <w:pPr>
              <w:rPr>
                <w:rFonts w:asciiTheme="minorHAnsi" w:hAnsiTheme="minorHAnsi" w:cstheme="minorHAnsi"/>
                <w:lang w:val="en-GB"/>
              </w:rPr>
            </w:pPr>
            <w:r w:rsidRPr="00D062ED">
              <w:rPr>
                <w:rFonts w:asciiTheme="minorHAnsi" w:hAnsiTheme="minorHAnsi" w:cstheme="minorHAnsi"/>
                <w:sz w:val="22"/>
                <w:szCs w:val="22"/>
                <w:lang w:val="en-GB"/>
              </w:rPr>
              <w:t>Project (100%)</w:t>
            </w:r>
          </w:p>
        </w:tc>
      </w:tr>
    </w:tbl>
    <w:p w14:paraId="0EAB7015" w14:textId="77777777" w:rsidR="00CC1EC5" w:rsidRPr="006403CB" w:rsidRDefault="00CC1EC5" w:rsidP="00CC1EC5">
      <w:pPr>
        <w:widowControl w:val="0"/>
        <w:numPr>
          <w:ilvl w:val="0"/>
          <w:numId w:val="1"/>
        </w:numPr>
        <w:autoSpaceDE w:val="0"/>
        <w:autoSpaceDN w:val="0"/>
        <w:adjustRightInd w:val="0"/>
        <w:spacing w:before="240" w:after="200" w:line="276" w:lineRule="auto"/>
        <w:ind w:left="357" w:hanging="357"/>
        <w:rPr>
          <w:rFonts w:asciiTheme="majorHAnsi" w:hAnsiTheme="majorHAnsi" w:cs="Arial"/>
          <w:b/>
          <w:color w:val="000000"/>
          <w:sz w:val="22"/>
          <w:szCs w:val="22"/>
          <w:lang w:val="en-GB"/>
        </w:rPr>
      </w:pPr>
      <w:r w:rsidRPr="006403CB">
        <w:rPr>
          <w:rFonts w:asciiTheme="majorHAnsi" w:hAnsiTheme="majorHAnsi" w:cs="Arial"/>
          <w:b/>
          <w:color w:val="000000"/>
          <w:sz w:val="22"/>
          <w:szCs w:val="22"/>
          <w:lang w:val="en-GB"/>
        </w:rPr>
        <w:t>ATTACHED BIBLIOGRAPHY</w:t>
      </w:r>
    </w:p>
    <w:tbl>
      <w:tblP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472"/>
      </w:tblGrid>
      <w:tr w:rsidR="00CC1EC5" w:rsidRPr="006403CB" w14:paraId="5B5637AD" w14:textId="77777777" w:rsidTr="00E30CBA">
        <w:tc>
          <w:tcPr>
            <w:tcW w:w="8472" w:type="dxa"/>
          </w:tcPr>
          <w:p w14:paraId="61F796E4" w14:textId="0409D404" w:rsidR="00CC1EC5" w:rsidRDefault="00CC1EC5" w:rsidP="00E30CBA">
            <w:pPr>
              <w:jc w:val="both"/>
              <w:rPr>
                <w:rFonts w:asciiTheme="majorHAnsi" w:hAnsiTheme="majorHAnsi" w:cs="Arial"/>
                <w:i/>
                <w:sz w:val="16"/>
                <w:szCs w:val="16"/>
                <w:lang w:val="en-GB"/>
              </w:rPr>
            </w:pPr>
            <w:r w:rsidRPr="006403CB">
              <w:rPr>
                <w:rFonts w:asciiTheme="majorHAnsi" w:hAnsiTheme="majorHAnsi" w:cs="Arial"/>
                <w:i/>
                <w:sz w:val="16"/>
                <w:szCs w:val="16"/>
                <w:lang w:val="en-GB"/>
              </w:rPr>
              <w:t>- Suggested bibliography:</w:t>
            </w:r>
          </w:p>
          <w:p w14:paraId="08176324" w14:textId="1B4B512D" w:rsidR="00D062ED" w:rsidRPr="00D062ED" w:rsidRDefault="00D062ED" w:rsidP="00D062ED">
            <w:pPr>
              <w:pStyle w:val="ListParagraph"/>
              <w:numPr>
                <w:ilvl w:val="0"/>
                <w:numId w:val="15"/>
              </w:numPr>
              <w:ind w:left="426"/>
              <w:jc w:val="both"/>
              <w:rPr>
                <w:rFonts w:asciiTheme="minorHAnsi" w:hAnsiTheme="minorHAnsi" w:cstheme="minorHAnsi"/>
              </w:rPr>
            </w:pPr>
            <w:r w:rsidRPr="00D062ED">
              <w:rPr>
                <w:rFonts w:asciiTheme="minorHAnsi" w:hAnsiTheme="minorHAnsi" w:cstheme="minorHAnsi"/>
                <w:sz w:val="22"/>
                <w:szCs w:val="22"/>
              </w:rPr>
              <w:t>Course Notes by Μ. Sfakianakis.</w:t>
            </w:r>
          </w:p>
          <w:p w14:paraId="2DEE2049" w14:textId="77777777" w:rsidR="00D062ED" w:rsidRPr="00D062ED" w:rsidRDefault="00D062ED" w:rsidP="00D062ED">
            <w:pPr>
              <w:pStyle w:val="ListParagraph"/>
              <w:numPr>
                <w:ilvl w:val="0"/>
                <w:numId w:val="15"/>
              </w:numPr>
              <w:ind w:left="426"/>
              <w:jc w:val="both"/>
              <w:rPr>
                <w:rFonts w:asciiTheme="minorHAnsi" w:hAnsiTheme="minorHAnsi" w:cstheme="minorHAnsi"/>
              </w:rPr>
            </w:pPr>
            <w:r w:rsidRPr="00D062ED">
              <w:rPr>
                <w:rFonts w:asciiTheme="minorHAnsi" w:hAnsiTheme="minorHAnsi" w:cstheme="minorHAnsi"/>
                <w:sz w:val="22"/>
                <w:szCs w:val="22"/>
              </w:rPr>
              <w:t>Guidelines for Design of Structures for Vertical Evacuation from Tsunamis, FEMA P-646, 2012.</w:t>
            </w:r>
          </w:p>
          <w:p w14:paraId="23594CD7" w14:textId="77777777" w:rsidR="00D062ED" w:rsidRPr="00D062ED" w:rsidRDefault="00D062ED" w:rsidP="00D062ED">
            <w:pPr>
              <w:pStyle w:val="ListParagraph"/>
              <w:numPr>
                <w:ilvl w:val="0"/>
                <w:numId w:val="15"/>
              </w:numPr>
              <w:autoSpaceDE w:val="0"/>
              <w:autoSpaceDN w:val="0"/>
              <w:adjustRightInd w:val="0"/>
              <w:ind w:left="426"/>
              <w:rPr>
                <w:rFonts w:asciiTheme="minorHAnsi" w:hAnsiTheme="minorHAnsi" w:cstheme="minorHAnsi"/>
              </w:rPr>
            </w:pPr>
            <w:r w:rsidRPr="00D062ED">
              <w:rPr>
                <w:rFonts w:asciiTheme="minorHAnsi" w:hAnsiTheme="minorHAnsi" w:cstheme="minorHAnsi"/>
                <w:sz w:val="22"/>
                <w:szCs w:val="22"/>
              </w:rPr>
              <w:t>Calculation of Blast Loads for Application to Structural Components, JRC Report EUR 26456 EN, 2013.</w:t>
            </w:r>
          </w:p>
          <w:p w14:paraId="33E5900D" w14:textId="77777777" w:rsidR="00D062ED" w:rsidRPr="00D062ED" w:rsidRDefault="00D062ED" w:rsidP="00D062ED">
            <w:pPr>
              <w:pStyle w:val="ListParagraph"/>
              <w:numPr>
                <w:ilvl w:val="0"/>
                <w:numId w:val="15"/>
              </w:numPr>
              <w:autoSpaceDE w:val="0"/>
              <w:autoSpaceDN w:val="0"/>
              <w:adjustRightInd w:val="0"/>
              <w:ind w:left="426"/>
              <w:rPr>
                <w:rFonts w:asciiTheme="minorHAnsi" w:hAnsiTheme="minorHAnsi" w:cstheme="minorHAnsi"/>
              </w:rPr>
            </w:pPr>
            <w:r w:rsidRPr="00D062ED">
              <w:rPr>
                <w:rFonts w:asciiTheme="minorHAnsi" w:hAnsiTheme="minorHAnsi" w:cstheme="minorHAnsi"/>
                <w:sz w:val="22"/>
                <w:szCs w:val="22"/>
              </w:rPr>
              <w:t>State</w:t>
            </w:r>
            <w:r w:rsidRPr="00D062ED">
              <w:rPr>
                <w:rFonts w:ascii="Cambria Math" w:hAnsi="Cambria Math" w:cs="Cambria Math"/>
                <w:sz w:val="22"/>
                <w:szCs w:val="22"/>
              </w:rPr>
              <w:t>‑</w:t>
            </w:r>
            <w:r w:rsidRPr="00D062ED">
              <w:rPr>
                <w:rFonts w:asciiTheme="minorHAnsi" w:hAnsiTheme="minorHAnsi" w:cstheme="minorHAnsi"/>
                <w:sz w:val="22"/>
                <w:szCs w:val="22"/>
              </w:rPr>
              <w:t>of</w:t>
            </w:r>
            <w:r w:rsidRPr="00D062ED">
              <w:rPr>
                <w:rFonts w:ascii="Cambria Math" w:hAnsi="Cambria Math" w:cs="Cambria Math"/>
                <w:sz w:val="22"/>
                <w:szCs w:val="22"/>
              </w:rPr>
              <w:t>‑</w:t>
            </w:r>
            <w:r w:rsidRPr="00D062ED">
              <w:rPr>
                <w:rFonts w:asciiTheme="minorHAnsi" w:hAnsiTheme="minorHAnsi" w:cstheme="minorHAnsi"/>
                <w:sz w:val="22"/>
                <w:szCs w:val="22"/>
              </w:rPr>
              <w:t>the</w:t>
            </w:r>
            <w:r w:rsidRPr="00D062ED">
              <w:rPr>
                <w:rFonts w:ascii="Cambria Math" w:hAnsi="Cambria Math" w:cs="Cambria Math"/>
                <w:sz w:val="22"/>
                <w:szCs w:val="22"/>
              </w:rPr>
              <w:t>‑</w:t>
            </w:r>
            <w:r w:rsidRPr="00D062ED">
              <w:rPr>
                <w:rFonts w:asciiTheme="minorHAnsi" w:hAnsiTheme="minorHAnsi" w:cstheme="minorHAnsi"/>
                <w:sz w:val="22"/>
                <w:szCs w:val="22"/>
              </w:rPr>
              <w:t xml:space="preserve">Art Review on Responses of RC Structures Subjected to Lateral Impact Loads, Archives of Computational Methods in Engineering, </w:t>
            </w:r>
            <w:r w:rsidRPr="00D062ED">
              <w:rPr>
                <w:rStyle w:val="u-visually-hidden"/>
                <w:rFonts w:asciiTheme="minorHAnsi" w:hAnsiTheme="minorHAnsi" w:cstheme="minorHAnsi"/>
                <w:b/>
                <w:bCs/>
                <w:color w:val="333333"/>
                <w:sz w:val="22"/>
                <w:szCs w:val="22"/>
                <w:bdr w:val="none" w:sz="0" w:space="0" w:color="auto" w:frame="1"/>
                <w:shd w:val="clear" w:color="auto" w:fill="FCFCFC"/>
              </w:rPr>
              <w:t xml:space="preserve">vol. </w:t>
            </w:r>
            <w:r w:rsidRPr="00D062ED">
              <w:rPr>
                <w:rFonts w:asciiTheme="minorHAnsi" w:hAnsiTheme="minorHAnsi" w:cstheme="minorHAnsi"/>
                <w:b/>
                <w:bCs/>
                <w:color w:val="333333"/>
                <w:sz w:val="22"/>
                <w:szCs w:val="22"/>
                <w:shd w:val="clear" w:color="auto" w:fill="FCFCFC"/>
              </w:rPr>
              <w:t>28</w:t>
            </w:r>
            <w:r w:rsidRPr="00D062ED">
              <w:rPr>
                <w:rFonts w:asciiTheme="minorHAnsi" w:hAnsiTheme="minorHAnsi" w:cstheme="minorHAnsi"/>
                <w:color w:val="333333"/>
                <w:sz w:val="22"/>
                <w:szCs w:val="22"/>
                <w:shd w:val="clear" w:color="auto" w:fill="FCFCFC"/>
              </w:rPr>
              <w:t>, </w:t>
            </w:r>
            <w:r w:rsidRPr="00D062ED">
              <w:rPr>
                <w:rStyle w:val="u-visually-hidden"/>
                <w:rFonts w:asciiTheme="minorHAnsi" w:hAnsiTheme="minorHAnsi" w:cstheme="minorHAnsi"/>
                <w:color w:val="333333"/>
                <w:sz w:val="22"/>
                <w:szCs w:val="22"/>
                <w:bdr w:val="none" w:sz="0" w:space="0" w:color="auto" w:frame="1"/>
                <w:shd w:val="clear" w:color="auto" w:fill="FCFCFC"/>
              </w:rPr>
              <w:t xml:space="preserve">pp. </w:t>
            </w:r>
            <w:r w:rsidRPr="00D062ED">
              <w:rPr>
                <w:rFonts w:asciiTheme="minorHAnsi" w:hAnsiTheme="minorHAnsi" w:cstheme="minorHAnsi"/>
                <w:color w:val="333333"/>
                <w:sz w:val="22"/>
                <w:szCs w:val="22"/>
                <w:shd w:val="clear" w:color="auto" w:fill="FCFCFC"/>
              </w:rPr>
              <w:t>2477–2507, 2021.</w:t>
            </w:r>
          </w:p>
          <w:p w14:paraId="3012C682" w14:textId="3F371A2E" w:rsidR="00CC1EC5" w:rsidRPr="001E45D8" w:rsidRDefault="00D062ED" w:rsidP="00D062ED">
            <w:pPr>
              <w:pStyle w:val="ListParagraph"/>
              <w:numPr>
                <w:ilvl w:val="0"/>
                <w:numId w:val="15"/>
              </w:numPr>
              <w:ind w:left="426"/>
              <w:jc w:val="both"/>
              <w:rPr>
                <w:rFonts w:asciiTheme="minorHAnsi" w:eastAsia="Calibri" w:hAnsiTheme="minorHAnsi" w:cstheme="minorHAnsi"/>
                <w:color w:val="002060"/>
              </w:rPr>
            </w:pPr>
            <w:r w:rsidRPr="00D062ED">
              <w:rPr>
                <w:rFonts w:asciiTheme="minorHAnsi" w:hAnsiTheme="minorHAnsi" w:cstheme="minorHAnsi"/>
                <w:sz w:val="22"/>
                <w:szCs w:val="22"/>
              </w:rPr>
              <w:t>Progressive Collapse Analysis of Structures, Numerical Codes and Applications, D. Isobe, Elsevier ed., 2018.</w:t>
            </w:r>
          </w:p>
        </w:tc>
      </w:tr>
    </w:tbl>
    <w:p w14:paraId="15A2C882" w14:textId="77777777" w:rsidR="00B22020" w:rsidRDefault="00B22020"/>
    <w:sectPr w:rsidR="00B22020" w:rsidSect="004B279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Math">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6C09"/>
    <w:multiLevelType w:val="hybridMultilevel"/>
    <w:tmpl w:val="D1403B02"/>
    <w:lvl w:ilvl="0" w:tplc="43962EA8">
      <w:start w:val="1"/>
      <w:numFmt w:val="decimal"/>
      <w:lvlText w:val="%1"/>
      <w:lvlJc w:val="left"/>
      <w:pPr>
        <w:ind w:left="720" w:hanging="360"/>
      </w:pPr>
      <w:rPr>
        <w:rFonts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1" w15:restartNumberingAfterBreak="0">
    <w:nsid w:val="029B17B4"/>
    <w:multiLevelType w:val="hybridMultilevel"/>
    <w:tmpl w:val="0CDA854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D744103"/>
    <w:multiLevelType w:val="hybridMultilevel"/>
    <w:tmpl w:val="8CC008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659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4121FA5"/>
    <w:multiLevelType w:val="hybridMultilevel"/>
    <w:tmpl w:val="C82E48DC"/>
    <w:lvl w:ilvl="0" w:tplc="2D44EDF6">
      <w:start w:val="1"/>
      <w:numFmt w:val="decimal"/>
      <w:lvlText w:val="(%1)"/>
      <w:lvlJc w:val="left"/>
      <w:pPr>
        <w:ind w:left="720" w:hanging="360"/>
      </w:pPr>
      <w:rPr>
        <w:rFonts w:cs="Times New Roman" w:hint="default"/>
        <w:b/>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4" w15:restartNumberingAfterBreak="0">
    <w:nsid w:val="1C5A5C9B"/>
    <w:multiLevelType w:val="hybridMultilevel"/>
    <w:tmpl w:val="D53E2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F96518"/>
    <w:multiLevelType w:val="hybridMultilevel"/>
    <w:tmpl w:val="18CA7162"/>
    <w:lvl w:ilvl="0" w:tplc="4FA875D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A55336E"/>
    <w:multiLevelType w:val="hybridMultilevel"/>
    <w:tmpl w:val="0E44B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B576A69"/>
    <w:multiLevelType w:val="hybridMultilevel"/>
    <w:tmpl w:val="1B7A7C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7B5418"/>
    <w:multiLevelType w:val="hybridMultilevel"/>
    <w:tmpl w:val="7E68C9C0"/>
    <w:lvl w:ilvl="0" w:tplc="4FA875D6">
      <w:start w:val="1"/>
      <w:numFmt w:val="decimal"/>
      <w:lvlText w:val="%1."/>
      <w:lvlJc w:val="left"/>
      <w:pPr>
        <w:ind w:left="720" w:hanging="360"/>
      </w:pPr>
      <w:rPr>
        <w:rFonts w:hint="default"/>
        <w:b w:val="0"/>
        <w:bCs w:val="0"/>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9" w15:restartNumberingAfterBreak="0">
    <w:nsid w:val="334051ED"/>
    <w:multiLevelType w:val="hybridMultilevel"/>
    <w:tmpl w:val="4CE68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EE42D1"/>
    <w:multiLevelType w:val="hybridMultilevel"/>
    <w:tmpl w:val="805CD9E0"/>
    <w:lvl w:ilvl="0" w:tplc="E378F96E">
      <w:start w:val="1"/>
      <w:numFmt w:val="decimal"/>
      <w:lvlText w:val="%1."/>
      <w:lvlJc w:val="left"/>
      <w:pPr>
        <w:ind w:left="720" w:hanging="360"/>
      </w:pPr>
      <w:rPr>
        <w:rFonts w:cs="Times New Roman" w:hint="default"/>
        <w:b w:val="0"/>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D0D15E8"/>
    <w:multiLevelType w:val="hybridMultilevel"/>
    <w:tmpl w:val="5A20DE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4D4485"/>
    <w:multiLevelType w:val="hybridMultilevel"/>
    <w:tmpl w:val="DDB633E8"/>
    <w:lvl w:ilvl="0" w:tplc="CC3C977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AD543A1"/>
    <w:multiLevelType w:val="multilevel"/>
    <w:tmpl w:val="66D68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FC1BA2"/>
    <w:multiLevelType w:val="hybridMultilevel"/>
    <w:tmpl w:val="316076F0"/>
    <w:lvl w:ilvl="0" w:tplc="04080001">
      <w:start w:val="1"/>
      <w:numFmt w:val="bullet"/>
      <w:lvlText w:val=""/>
      <w:lvlJc w:val="left"/>
      <w:pPr>
        <w:ind w:left="1174" w:hanging="360"/>
      </w:pPr>
      <w:rPr>
        <w:rFonts w:ascii="Symbol" w:hAnsi="Symbol" w:hint="default"/>
      </w:rPr>
    </w:lvl>
    <w:lvl w:ilvl="1" w:tplc="04080003" w:tentative="1">
      <w:start w:val="1"/>
      <w:numFmt w:val="bullet"/>
      <w:lvlText w:val="o"/>
      <w:lvlJc w:val="left"/>
      <w:pPr>
        <w:ind w:left="1894" w:hanging="360"/>
      </w:pPr>
      <w:rPr>
        <w:rFonts w:ascii="Courier New" w:hAnsi="Courier New" w:hint="default"/>
      </w:rPr>
    </w:lvl>
    <w:lvl w:ilvl="2" w:tplc="04080005" w:tentative="1">
      <w:start w:val="1"/>
      <w:numFmt w:val="bullet"/>
      <w:lvlText w:val=""/>
      <w:lvlJc w:val="left"/>
      <w:pPr>
        <w:ind w:left="2614" w:hanging="360"/>
      </w:pPr>
      <w:rPr>
        <w:rFonts w:ascii="Wingdings" w:hAnsi="Wingdings" w:hint="default"/>
      </w:rPr>
    </w:lvl>
    <w:lvl w:ilvl="3" w:tplc="04080001" w:tentative="1">
      <w:start w:val="1"/>
      <w:numFmt w:val="bullet"/>
      <w:lvlText w:val=""/>
      <w:lvlJc w:val="left"/>
      <w:pPr>
        <w:ind w:left="3334" w:hanging="360"/>
      </w:pPr>
      <w:rPr>
        <w:rFonts w:ascii="Symbol" w:hAnsi="Symbol" w:hint="default"/>
      </w:rPr>
    </w:lvl>
    <w:lvl w:ilvl="4" w:tplc="04080003" w:tentative="1">
      <w:start w:val="1"/>
      <w:numFmt w:val="bullet"/>
      <w:lvlText w:val="o"/>
      <w:lvlJc w:val="left"/>
      <w:pPr>
        <w:ind w:left="4054" w:hanging="360"/>
      </w:pPr>
      <w:rPr>
        <w:rFonts w:ascii="Courier New" w:hAnsi="Courier New" w:hint="default"/>
      </w:rPr>
    </w:lvl>
    <w:lvl w:ilvl="5" w:tplc="04080005" w:tentative="1">
      <w:start w:val="1"/>
      <w:numFmt w:val="bullet"/>
      <w:lvlText w:val=""/>
      <w:lvlJc w:val="left"/>
      <w:pPr>
        <w:ind w:left="4774" w:hanging="360"/>
      </w:pPr>
      <w:rPr>
        <w:rFonts w:ascii="Wingdings" w:hAnsi="Wingdings" w:hint="default"/>
      </w:rPr>
    </w:lvl>
    <w:lvl w:ilvl="6" w:tplc="04080001" w:tentative="1">
      <w:start w:val="1"/>
      <w:numFmt w:val="bullet"/>
      <w:lvlText w:val=""/>
      <w:lvlJc w:val="left"/>
      <w:pPr>
        <w:ind w:left="5494" w:hanging="360"/>
      </w:pPr>
      <w:rPr>
        <w:rFonts w:ascii="Symbol" w:hAnsi="Symbol" w:hint="default"/>
      </w:rPr>
    </w:lvl>
    <w:lvl w:ilvl="7" w:tplc="04080003" w:tentative="1">
      <w:start w:val="1"/>
      <w:numFmt w:val="bullet"/>
      <w:lvlText w:val="o"/>
      <w:lvlJc w:val="left"/>
      <w:pPr>
        <w:ind w:left="6214" w:hanging="360"/>
      </w:pPr>
      <w:rPr>
        <w:rFonts w:ascii="Courier New" w:hAnsi="Courier New" w:hint="default"/>
      </w:rPr>
    </w:lvl>
    <w:lvl w:ilvl="8" w:tplc="04080005" w:tentative="1">
      <w:start w:val="1"/>
      <w:numFmt w:val="bullet"/>
      <w:lvlText w:val=""/>
      <w:lvlJc w:val="left"/>
      <w:pPr>
        <w:ind w:left="6934" w:hanging="360"/>
      </w:pPr>
      <w:rPr>
        <w:rFonts w:ascii="Wingdings" w:hAnsi="Wingdings" w:hint="default"/>
      </w:rPr>
    </w:lvl>
  </w:abstractNum>
  <w:num w:numId="1">
    <w:abstractNumId w:val="3"/>
  </w:num>
  <w:num w:numId="2">
    <w:abstractNumId w:val="14"/>
  </w:num>
  <w:num w:numId="3">
    <w:abstractNumId w:val="2"/>
  </w:num>
  <w:num w:numId="4">
    <w:abstractNumId w:val="9"/>
  </w:num>
  <w:num w:numId="5">
    <w:abstractNumId w:val="12"/>
  </w:num>
  <w:num w:numId="6">
    <w:abstractNumId w:val="13"/>
  </w:num>
  <w:num w:numId="7">
    <w:abstractNumId w:val="4"/>
  </w:num>
  <w:num w:numId="8">
    <w:abstractNumId w:val="6"/>
  </w:num>
  <w:num w:numId="9">
    <w:abstractNumId w:val="11"/>
  </w:num>
  <w:num w:numId="10">
    <w:abstractNumId w:val="1"/>
  </w:num>
  <w:num w:numId="11">
    <w:abstractNumId w:val="0"/>
  </w:num>
  <w:num w:numId="12">
    <w:abstractNumId w:val="8"/>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CC1EC5"/>
    <w:rsid w:val="000223E6"/>
    <w:rsid w:val="000678A9"/>
    <w:rsid w:val="00072F35"/>
    <w:rsid w:val="00074AEA"/>
    <w:rsid w:val="000A2E6E"/>
    <w:rsid w:val="000B0F77"/>
    <w:rsid w:val="001123DF"/>
    <w:rsid w:val="001209E2"/>
    <w:rsid w:val="0012257C"/>
    <w:rsid w:val="00191430"/>
    <w:rsid w:val="001A29F5"/>
    <w:rsid w:val="001A7AFC"/>
    <w:rsid w:val="001E45D8"/>
    <w:rsid w:val="001F2432"/>
    <w:rsid w:val="00232F6E"/>
    <w:rsid w:val="00293D6C"/>
    <w:rsid w:val="00390358"/>
    <w:rsid w:val="00396B98"/>
    <w:rsid w:val="003C425D"/>
    <w:rsid w:val="0041372E"/>
    <w:rsid w:val="004156AD"/>
    <w:rsid w:val="00446A11"/>
    <w:rsid w:val="00456683"/>
    <w:rsid w:val="00460F4A"/>
    <w:rsid w:val="00482566"/>
    <w:rsid w:val="004B2792"/>
    <w:rsid w:val="004D2394"/>
    <w:rsid w:val="004F0EFA"/>
    <w:rsid w:val="005B2E4C"/>
    <w:rsid w:val="00632713"/>
    <w:rsid w:val="006568DC"/>
    <w:rsid w:val="0068356A"/>
    <w:rsid w:val="006A5903"/>
    <w:rsid w:val="006C52C0"/>
    <w:rsid w:val="006E75E2"/>
    <w:rsid w:val="00710CE9"/>
    <w:rsid w:val="00722A10"/>
    <w:rsid w:val="00783411"/>
    <w:rsid w:val="007F6A29"/>
    <w:rsid w:val="00827804"/>
    <w:rsid w:val="008865E5"/>
    <w:rsid w:val="00891367"/>
    <w:rsid w:val="008A4B42"/>
    <w:rsid w:val="009069AF"/>
    <w:rsid w:val="00910E45"/>
    <w:rsid w:val="0095585E"/>
    <w:rsid w:val="009866D4"/>
    <w:rsid w:val="009E1BC8"/>
    <w:rsid w:val="009E7F8D"/>
    <w:rsid w:val="009F38D4"/>
    <w:rsid w:val="00A74ABD"/>
    <w:rsid w:val="00A76153"/>
    <w:rsid w:val="00A92926"/>
    <w:rsid w:val="00AB07F9"/>
    <w:rsid w:val="00AF405A"/>
    <w:rsid w:val="00B1741C"/>
    <w:rsid w:val="00B22020"/>
    <w:rsid w:val="00B540EB"/>
    <w:rsid w:val="00C36535"/>
    <w:rsid w:val="00C832A4"/>
    <w:rsid w:val="00C93C0D"/>
    <w:rsid w:val="00CC1638"/>
    <w:rsid w:val="00CC1EC5"/>
    <w:rsid w:val="00CF639E"/>
    <w:rsid w:val="00D062ED"/>
    <w:rsid w:val="00D44961"/>
    <w:rsid w:val="00D47B59"/>
    <w:rsid w:val="00DF6EC8"/>
    <w:rsid w:val="00E236DB"/>
    <w:rsid w:val="00E46975"/>
    <w:rsid w:val="00E818CC"/>
    <w:rsid w:val="00EE4C83"/>
    <w:rsid w:val="00EE5002"/>
    <w:rsid w:val="00EF6EFC"/>
    <w:rsid w:val="00F46F0A"/>
    <w:rsid w:val="00FA0A7A"/>
    <w:rsid w:val="00FD1664"/>
    <w:rsid w:val="00FD2CCD"/>
    <w:rsid w:val="00FE1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5341D"/>
  <w15:docId w15:val="{BB61B0C7-CD53-43BE-83CD-EE78A7D89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1EC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3">
    <w:name w:val="Table Grid3"/>
    <w:uiPriority w:val="99"/>
    <w:rsid w:val="00CC1EC5"/>
    <w:pPr>
      <w:spacing w:after="0" w:line="240" w:lineRule="auto"/>
    </w:pPr>
    <w:rPr>
      <w:rFonts w:ascii="Times New Roman" w:eastAsia="Times New Roman" w:hAnsi="Times New Roman" w:cs="Times New Roman"/>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36535"/>
    <w:pPr>
      <w:ind w:left="720"/>
      <w:contextualSpacing/>
    </w:pPr>
  </w:style>
  <w:style w:type="character" w:customStyle="1" w:styleId="jlqj4b">
    <w:name w:val="jlqj4b"/>
    <w:basedOn w:val="DefaultParagraphFont"/>
    <w:rsid w:val="00FE10DC"/>
  </w:style>
  <w:style w:type="paragraph" w:customStyle="1" w:styleId="bullet">
    <w:name w:val="bullet"/>
    <w:basedOn w:val="Normal"/>
    <w:rsid w:val="00783411"/>
    <w:pPr>
      <w:spacing w:before="100" w:beforeAutospacing="1" w:after="100" w:afterAutospacing="1"/>
    </w:pPr>
  </w:style>
  <w:style w:type="character" w:styleId="Hyperlink">
    <w:name w:val="Hyperlink"/>
    <w:basedOn w:val="DefaultParagraphFont"/>
    <w:uiPriority w:val="99"/>
    <w:semiHidden/>
    <w:unhideWhenUsed/>
    <w:rsid w:val="00783411"/>
    <w:rPr>
      <w:color w:val="0000FF"/>
      <w:u w:val="single"/>
    </w:rPr>
  </w:style>
  <w:style w:type="character" w:customStyle="1" w:styleId="tlid-translation">
    <w:name w:val="tlid-translation"/>
    <w:rsid w:val="005B2E4C"/>
  </w:style>
  <w:style w:type="character" w:customStyle="1" w:styleId="u-visually-hidden">
    <w:name w:val="u-visually-hidden"/>
    <w:basedOn w:val="DefaultParagraphFont"/>
    <w:rsid w:val="00D062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1500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ivil.upatras.gr/en/ProptixiakhEkpaideysh/Mathimata/EEtos/entry/287599c2-059f-4d82-9e74-96a7b8c78cfd/?PageNo=0"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917</Words>
  <Characters>5229</Characters>
  <Application>Microsoft Office Word</Application>
  <DocSecurity>0</DocSecurity>
  <Lines>43</Lines>
  <Paragraphs>12</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Manager/>
  <Company/>
  <LinksUpToDate>false</LinksUpToDate>
  <CharactersWithSpaces>6134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p:lastModifiedBy>
  <cp:revision>31</cp:revision>
  <dcterms:created xsi:type="dcterms:W3CDTF">2021-02-20T10:27:00Z</dcterms:created>
  <dcterms:modified xsi:type="dcterms:W3CDTF">2021-06-29T17:31:00Z</dcterms:modified>
  <cp:category/>
</cp:coreProperties>
</file>