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7C6FF" w14:textId="77777777" w:rsidR="00CC1EC5" w:rsidRPr="00313C26" w:rsidRDefault="00CC1EC5" w:rsidP="00CC1EC5">
      <w:pPr>
        <w:spacing w:before="120" w:line="276" w:lineRule="auto"/>
        <w:ind w:firstLine="357"/>
        <w:jc w:val="center"/>
        <w:rPr>
          <w:rFonts w:asciiTheme="majorHAnsi" w:hAnsiTheme="majorHAnsi" w:cs="Arial"/>
          <w:color w:val="000000" w:themeColor="text1"/>
          <w:lang w:val="en-GB"/>
        </w:rPr>
      </w:pPr>
      <w:r w:rsidRPr="00313C26">
        <w:rPr>
          <w:rFonts w:asciiTheme="majorHAnsi" w:hAnsiTheme="majorHAnsi" w:cs="Arial"/>
          <w:b/>
          <w:color w:val="000000" w:themeColor="text1"/>
          <w:lang w:val="en-GB"/>
        </w:rPr>
        <w:t>COURSE OUTLINE</w:t>
      </w:r>
    </w:p>
    <w:p w14:paraId="2A69F21D" w14:textId="77777777" w:rsidR="00CC1EC5" w:rsidRPr="00313C26" w:rsidRDefault="00CC1E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</w:pPr>
      <w:r w:rsidRPr="00313C26"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  <w:t>GENERAL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9"/>
        <w:gridCol w:w="1628"/>
        <w:gridCol w:w="1217"/>
        <w:gridCol w:w="1178"/>
        <w:gridCol w:w="316"/>
        <w:gridCol w:w="1194"/>
      </w:tblGrid>
      <w:tr w:rsidR="00313C26" w:rsidRPr="00313C26" w14:paraId="4F6CD287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3D7A1555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SCHOOL</w:t>
            </w:r>
          </w:p>
        </w:tc>
        <w:tc>
          <w:tcPr>
            <w:tcW w:w="5293" w:type="dxa"/>
            <w:gridSpan w:val="5"/>
          </w:tcPr>
          <w:p w14:paraId="0F912CB5" w14:textId="77777777" w:rsidR="00CC1EC5" w:rsidRPr="00313C26" w:rsidRDefault="00072F35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SCHOOL OF ENGINEERING</w:t>
            </w:r>
          </w:p>
        </w:tc>
      </w:tr>
      <w:tr w:rsidR="00313C26" w:rsidRPr="00313C26" w14:paraId="07F228AE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1CD5566B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ACADEMIC UNIT</w:t>
            </w:r>
          </w:p>
        </w:tc>
        <w:tc>
          <w:tcPr>
            <w:tcW w:w="5293" w:type="dxa"/>
            <w:gridSpan w:val="5"/>
          </w:tcPr>
          <w:p w14:paraId="3F610463" w14:textId="77777777" w:rsidR="00CC1EC5" w:rsidRPr="00313C26" w:rsidRDefault="00072F35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DEPARTMENT OF CIVIL ENGINEERING </w:t>
            </w:r>
          </w:p>
        </w:tc>
      </w:tr>
      <w:tr w:rsidR="00313C26" w:rsidRPr="00313C26" w14:paraId="2B0B3BF4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700F3F19" w14:textId="77777777" w:rsidR="000223E6" w:rsidRPr="00313C26" w:rsidRDefault="000223E6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93" w:type="dxa"/>
            <w:gridSpan w:val="5"/>
          </w:tcPr>
          <w:p w14:paraId="13F4A283" w14:textId="77777777" w:rsidR="000223E6" w:rsidRPr="00313C26" w:rsidRDefault="000223E6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UNIVERSITY OF PATRAS</w:t>
            </w:r>
          </w:p>
        </w:tc>
      </w:tr>
      <w:tr w:rsidR="00313C26" w:rsidRPr="00313C26" w14:paraId="09AEC9C0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6907DA9A" w14:textId="77777777" w:rsidR="000223E6" w:rsidRPr="00313C26" w:rsidRDefault="000223E6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POSTGRADUATE PROGRAM: TITLE</w:t>
            </w:r>
          </w:p>
        </w:tc>
        <w:tc>
          <w:tcPr>
            <w:tcW w:w="5293" w:type="dxa"/>
            <w:gridSpan w:val="5"/>
          </w:tcPr>
          <w:p w14:paraId="6D5A336A" w14:textId="77777777" w:rsidR="00E818CC" w:rsidRPr="00313C26" w:rsidRDefault="00E818CC" w:rsidP="00E818C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Master’s Degree "Design of Resilient, Sustainable and Intelligent Infrastructures". </w:t>
            </w:r>
          </w:p>
          <w:p w14:paraId="387351CF" w14:textId="77777777" w:rsidR="00E818CC" w:rsidRPr="00313C26" w:rsidRDefault="00E818CC" w:rsidP="00E818C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Tracks:</w:t>
            </w:r>
          </w:p>
          <w:p w14:paraId="3B16460B" w14:textId="77777777" w:rsidR="00E818CC" w:rsidRPr="00313C26" w:rsidRDefault="00E818CC" w:rsidP="00E818C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(A) Resilient Materials, Structures and Geotechnical Infrastructures,</w:t>
            </w:r>
          </w:p>
          <w:p w14:paraId="6089F7A6" w14:textId="77777777" w:rsidR="00E818CC" w:rsidRPr="00313C26" w:rsidRDefault="00E818CC" w:rsidP="00E818C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(B) Hydraulic and Environmental Engineering for Sustainable Infrastructures, and </w:t>
            </w:r>
          </w:p>
          <w:p w14:paraId="3A1D1B58" w14:textId="3F827464" w:rsidR="000223E6" w:rsidRPr="00313C26" w:rsidRDefault="00E818CC" w:rsidP="00E818CC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(C) Intelligent Systems in Transportation and Construction Project Management</w:t>
            </w:r>
          </w:p>
        </w:tc>
      </w:tr>
      <w:tr w:rsidR="00313C26" w:rsidRPr="00313C26" w14:paraId="6FAB36E2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117E88DE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LEVEL OF STUDIES</w:t>
            </w:r>
          </w:p>
        </w:tc>
        <w:tc>
          <w:tcPr>
            <w:tcW w:w="5293" w:type="dxa"/>
            <w:gridSpan w:val="5"/>
          </w:tcPr>
          <w:p w14:paraId="3E557661" w14:textId="77777777" w:rsidR="00CC1EC5" w:rsidRPr="00313C26" w:rsidRDefault="000223E6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POST</w:t>
            </w:r>
            <w:r w:rsidR="00072F35"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GRADUATE</w:t>
            </w: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PROGRAM</w:t>
            </w:r>
          </w:p>
        </w:tc>
      </w:tr>
      <w:tr w:rsidR="00313C26" w:rsidRPr="00313C26" w14:paraId="628EF9A6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16657F87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1197" w:type="dxa"/>
          </w:tcPr>
          <w:p w14:paraId="4EDA2899" w14:textId="42D7DC15" w:rsidR="00CC1EC5" w:rsidRPr="00313C26" w:rsidRDefault="00C91CB6" w:rsidP="004566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GPOL_</w:t>
            </w:r>
            <w:r w:rsidR="001D0DC5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A</w:t>
            </w:r>
            <w:r w:rsidRPr="00313C26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_1610</w:t>
            </w:r>
            <w:r w:rsidR="001D0DC5">
              <w:rPr>
                <w:rFonts w:cs="Arial"/>
                <w:b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2505" w:type="dxa"/>
            <w:gridSpan w:val="2"/>
            <w:shd w:val="clear" w:color="auto" w:fill="D0CECE" w:themeFill="background2" w:themeFillShade="E6"/>
          </w:tcPr>
          <w:p w14:paraId="22544528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SEMESTER</w:t>
            </w:r>
          </w:p>
        </w:tc>
        <w:tc>
          <w:tcPr>
            <w:tcW w:w="1591" w:type="dxa"/>
            <w:gridSpan w:val="2"/>
          </w:tcPr>
          <w:p w14:paraId="15EDE5A0" w14:textId="6B4C1E21" w:rsidR="00CC1EC5" w:rsidRPr="00313C26" w:rsidRDefault="001D0DC5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Spring</w:t>
            </w:r>
            <w:r w:rsidR="00632713"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B</w:t>
            </w:r>
            <w:r w:rsidR="00632713"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’)</w:t>
            </w:r>
          </w:p>
        </w:tc>
      </w:tr>
      <w:tr w:rsidR="00313C26" w:rsidRPr="00313C26" w14:paraId="386AFDCF" w14:textId="77777777" w:rsidTr="000223E6">
        <w:trPr>
          <w:trHeight w:val="375"/>
        </w:trPr>
        <w:tc>
          <w:tcPr>
            <w:tcW w:w="3205" w:type="dxa"/>
            <w:shd w:val="clear" w:color="auto" w:fill="D0CECE" w:themeFill="background2" w:themeFillShade="E6"/>
            <w:vAlign w:val="center"/>
          </w:tcPr>
          <w:p w14:paraId="220C3CEF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COURSE TITLE</w:t>
            </w:r>
          </w:p>
        </w:tc>
        <w:tc>
          <w:tcPr>
            <w:tcW w:w="5293" w:type="dxa"/>
            <w:gridSpan w:val="5"/>
            <w:vAlign w:val="center"/>
          </w:tcPr>
          <w:p w14:paraId="4A8A5851" w14:textId="622CCB87" w:rsidR="00CC1EC5" w:rsidRPr="00313C26" w:rsidRDefault="001D0DC5" w:rsidP="001D0DC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1D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Experimental methods in </w:t>
            </w:r>
            <w:r w:rsidRPr="001D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structural</w:t>
            </w:r>
            <w:r w:rsidRPr="001D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 xml:space="preserve"> engineering</w:t>
            </w:r>
          </w:p>
        </w:tc>
      </w:tr>
      <w:tr w:rsidR="00313C26" w:rsidRPr="00313C26" w14:paraId="5677AF26" w14:textId="77777777" w:rsidTr="000223E6">
        <w:trPr>
          <w:trHeight w:val="196"/>
        </w:trPr>
        <w:tc>
          <w:tcPr>
            <w:tcW w:w="5699" w:type="dxa"/>
            <w:gridSpan w:val="3"/>
            <w:shd w:val="clear" w:color="auto" w:fill="D0CECE" w:themeFill="background2" w:themeFillShade="E6"/>
            <w:vAlign w:val="center"/>
          </w:tcPr>
          <w:p w14:paraId="7B97B4A1" w14:textId="77777777" w:rsidR="00CC1EC5" w:rsidRPr="00313C26" w:rsidRDefault="00CC1EC5" w:rsidP="00E30CB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 xml:space="preserve">INDEPENDENT TEACHING ACTIVITIES </w:t>
            </w: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br/>
            </w:r>
            <w:r w:rsidRPr="00313C26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n-GB"/>
              </w:rPr>
              <w:t xml:space="preserve">if credits are awarded for separate components of the course, </w:t>
            </w: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n-GB"/>
              </w:rPr>
              <w:t>e.g.</w:t>
            </w:r>
            <w:proofErr w:type="gramEnd"/>
            <w:r w:rsidRPr="00313C26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n-GB"/>
              </w:rPr>
              <w:t xml:space="preserve"> lectures, laboratory exercises, etc. If the credits are awarded for the whole of the course, give the weekly teaching hours and the total credits</w:t>
            </w:r>
          </w:p>
        </w:tc>
        <w:tc>
          <w:tcPr>
            <w:tcW w:w="1559" w:type="dxa"/>
            <w:gridSpan w:val="2"/>
            <w:shd w:val="clear" w:color="auto" w:fill="D0CECE" w:themeFill="background2" w:themeFillShade="E6"/>
            <w:vAlign w:val="center"/>
          </w:tcPr>
          <w:p w14:paraId="05F97ACE" w14:textId="77777777" w:rsidR="00CC1EC5" w:rsidRPr="00313C26" w:rsidRDefault="00CC1EC5" w:rsidP="00E30CB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WEEKLY TEACHING HOURS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4EE8DD1E" w14:textId="77777777" w:rsidR="00CC1EC5" w:rsidRPr="00313C26" w:rsidRDefault="00CC1EC5" w:rsidP="00E30CBA">
            <w:pPr>
              <w:jc w:val="center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CREDITS</w:t>
            </w:r>
          </w:p>
        </w:tc>
      </w:tr>
      <w:tr w:rsidR="00313C26" w:rsidRPr="00313C26" w14:paraId="4AA8FC0C" w14:textId="77777777" w:rsidTr="000223E6">
        <w:trPr>
          <w:trHeight w:val="194"/>
        </w:trPr>
        <w:tc>
          <w:tcPr>
            <w:tcW w:w="5699" w:type="dxa"/>
            <w:gridSpan w:val="3"/>
          </w:tcPr>
          <w:p w14:paraId="48872A2F" w14:textId="337BF88C" w:rsidR="00CC1EC5" w:rsidRPr="00313C26" w:rsidRDefault="00C91CB6" w:rsidP="00C91CB6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Lectures</w:t>
            </w:r>
          </w:p>
        </w:tc>
        <w:tc>
          <w:tcPr>
            <w:tcW w:w="1559" w:type="dxa"/>
            <w:gridSpan w:val="2"/>
          </w:tcPr>
          <w:p w14:paraId="046A1DB3" w14:textId="35FAD5FF" w:rsidR="00CC1EC5" w:rsidRPr="00313C26" w:rsidRDefault="00C91CB6" w:rsidP="00E30CB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3</w:t>
            </w:r>
          </w:p>
        </w:tc>
        <w:tc>
          <w:tcPr>
            <w:tcW w:w="1240" w:type="dxa"/>
          </w:tcPr>
          <w:p w14:paraId="76022095" w14:textId="77777777" w:rsidR="00CC1EC5" w:rsidRPr="00313C26" w:rsidRDefault="00FE10DC" w:rsidP="00E30CBA">
            <w:pPr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7.</w:t>
            </w:r>
            <w:r w:rsidR="004156AD"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l-GR"/>
              </w:rPr>
              <w:t>5</w:t>
            </w:r>
          </w:p>
        </w:tc>
      </w:tr>
      <w:tr w:rsidR="00313C26" w:rsidRPr="00313C26" w14:paraId="6D014281" w14:textId="77777777" w:rsidTr="000223E6">
        <w:trPr>
          <w:trHeight w:val="194"/>
        </w:trPr>
        <w:tc>
          <w:tcPr>
            <w:tcW w:w="5699" w:type="dxa"/>
            <w:gridSpan w:val="3"/>
          </w:tcPr>
          <w:p w14:paraId="4FDA4561" w14:textId="77777777" w:rsidR="00CC1EC5" w:rsidRPr="00313C26" w:rsidRDefault="00CC1EC5" w:rsidP="00E30CBA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59" w:type="dxa"/>
            <w:gridSpan w:val="2"/>
          </w:tcPr>
          <w:p w14:paraId="03A47F19" w14:textId="77777777" w:rsidR="00CC1EC5" w:rsidRPr="00313C26" w:rsidRDefault="00CC1EC5" w:rsidP="00E30CBA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14:paraId="58AC81ED" w14:textId="77777777" w:rsidR="00CC1EC5" w:rsidRPr="00313C26" w:rsidRDefault="00CC1EC5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13C26" w:rsidRPr="00313C26" w14:paraId="7EC75EF1" w14:textId="77777777" w:rsidTr="000223E6">
        <w:trPr>
          <w:trHeight w:val="194"/>
        </w:trPr>
        <w:tc>
          <w:tcPr>
            <w:tcW w:w="5699" w:type="dxa"/>
            <w:gridSpan w:val="3"/>
            <w:shd w:val="clear" w:color="auto" w:fill="D0CECE" w:themeFill="background2" w:themeFillShade="E6"/>
          </w:tcPr>
          <w:p w14:paraId="64612DCC" w14:textId="77777777" w:rsidR="00CC1EC5" w:rsidRPr="00313C26" w:rsidRDefault="00CC1EC5" w:rsidP="00E30CBA">
            <w:pPr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8"/>
                <w:szCs w:val="18"/>
                <w:lang w:val="en-GB"/>
              </w:rPr>
              <w:t>Add rows if necessary. The organisation of teaching and the teaching methods used are described in detail at (d).</w:t>
            </w:r>
          </w:p>
        </w:tc>
        <w:tc>
          <w:tcPr>
            <w:tcW w:w="1559" w:type="dxa"/>
            <w:gridSpan w:val="2"/>
          </w:tcPr>
          <w:p w14:paraId="7F26CA57" w14:textId="77777777" w:rsidR="00CC1EC5" w:rsidRPr="00313C26" w:rsidRDefault="00CC1EC5" w:rsidP="00E30CBA">
            <w:pPr>
              <w:jc w:val="right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240" w:type="dxa"/>
          </w:tcPr>
          <w:p w14:paraId="0E2D66A4" w14:textId="77777777" w:rsidR="00CC1EC5" w:rsidRPr="00313C26" w:rsidRDefault="00CC1EC5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</w:p>
        </w:tc>
      </w:tr>
      <w:tr w:rsidR="00313C26" w:rsidRPr="00313C26" w14:paraId="1485419F" w14:textId="77777777" w:rsidTr="000223E6">
        <w:trPr>
          <w:trHeight w:val="599"/>
        </w:trPr>
        <w:tc>
          <w:tcPr>
            <w:tcW w:w="3205" w:type="dxa"/>
            <w:shd w:val="clear" w:color="auto" w:fill="D0CECE" w:themeFill="background2" w:themeFillShade="E6"/>
          </w:tcPr>
          <w:p w14:paraId="41923AB0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COURSE TYPE</w:t>
            </w: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 </w:t>
            </w:r>
          </w:p>
          <w:p w14:paraId="21E24496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general background, </w:t>
            </w: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br/>
              <w:t>special background, specialised general knowledge, skills development</w:t>
            </w:r>
          </w:p>
        </w:tc>
        <w:tc>
          <w:tcPr>
            <w:tcW w:w="5293" w:type="dxa"/>
            <w:gridSpan w:val="5"/>
          </w:tcPr>
          <w:p w14:paraId="006DEF62" w14:textId="307FE88C" w:rsidR="00CC1EC5" w:rsidRPr="00313C26" w:rsidRDefault="00C91CB6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Specialised general knowledge</w:t>
            </w:r>
          </w:p>
        </w:tc>
      </w:tr>
      <w:tr w:rsidR="00313C26" w:rsidRPr="00313C26" w14:paraId="4252FE01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57331B05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PREREQUISITE COURSES:</w:t>
            </w:r>
          </w:p>
          <w:p w14:paraId="5EA0853D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293" w:type="dxa"/>
            <w:gridSpan w:val="5"/>
          </w:tcPr>
          <w:p w14:paraId="4F246567" w14:textId="7BBF5090" w:rsidR="00CC1EC5" w:rsidRPr="00313C26" w:rsidRDefault="001D0DC5" w:rsidP="0045668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</w:tr>
      <w:tr w:rsidR="00313C26" w:rsidRPr="00313C26" w14:paraId="769D5906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04E74130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LANGUAGE OF INSTRUCTION and EXAMINATIONS:</w:t>
            </w:r>
          </w:p>
        </w:tc>
        <w:tc>
          <w:tcPr>
            <w:tcW w:w="5293" w:type="dxa"/>
            <w:gridSpan w:val="5"/>
          </w:tcPr>
          <w:p w14:paraId="36BC733A" w14:textId="77777777" w:rsidR="00CC1EC5" w:rsidRPr="00313C26" w:rsidRDefault="00A92926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Greek</w:t>
            </w:r>
          </w:p>
        </w:tc>
      </w:tr>
      <w:tr w:rsidR="00313C26" w:rsidRPr="00313C26" w14:paraId="379D8049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0D6D3D09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IS THE COURSE OFFERED TO ERASMUS STUDENTS</w:t>
            </w:r>
          </w:p>
        </w:tc>
        <w:tc>
          <w:tcPr>
            <w:tcW w:w="5293" w:type="dxa"/>
            <w:gridSpan w:val="5"/>
          </w:tcPr>
          <w:p w14:paraId="32CB2D81" w14:textId="145D0AB2" w:rsidR="00CC1EC5" w:rsidRPr="00313C26" w:rsidRDefault="00C91CB6" w:rsidP="00E30CBA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No</w:t>
            </w:r>
          </w:p>
        </w:tc>
      </w:tr>
      <w:tr w:rsidR="00313C26" w:rsidRPr="00313C26" w14:paraId="011E7E0C" w14:textId="77777777" w:rsidTr="000223E6">
        <w:tc>
          <w:tcPr>
            <w:tcW w:w="3205" w:type="dxa"/>
            <w:shd w:val="clear" w:color="auto" w:fill="D0CECE" w:themeFill="background2" w:themeFillShade="E6"/>
          </w:tcPr>
          <w:p w14:paraId="304F42DE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COURSE WEBSITE (URL)</w:t>
            </w:r>
          </w:p>
        </w:tc>
        <w:tc>
          <w:tcPr>
            <w:tcW w:w="5293" w:type="dxa"/>
            <w:gridSpan w:val="5"/>
          </w:tcPr>
          <w:p w14:paraId="6BC50A06" w14:textId="363666A4" w:rsidR="00CC1EC5" w:rsidRPr="00313C26" w:rsidRDefault="00C91CB6" w:rsidP="00456683">
            <w:pPr>
              <w:spacing w:after="20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https://eclass.upatras.gr/courses/CIV1</w:t>
            </w:r>
            <w:r w:rsidR="001D0DC5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526</w:t>
            </w:r>
            <w:r w:rsidRPr="00313C26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  <w:t>/</w:t>
            </w:r>
          </w:p>
        </w:tc>
      </w:tr>
    </w:tbl>
    <w:p w14:paraId="09D63B33" w14:textId="77777777" w:rsidR="00CC1EC5" w:rsidRPr="00313C26" w:rsidRDefault="00CC1E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</w:pPr>
      <w:r w:rsidRPr="00313C26"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  <w:t>LEARNING OUTCOMES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64"/>
        <w:gridCol w:w="4508"/>
      </w:tblGrid>
      <w:tr w:rsidR="00313C26" w:rsidRPr="00313C26" w14:paraId="5E3BAEEC" w14:textId="77777777" w:rsidTr="00E30CBA">
        <w:tc>
          <w:tcPr>
            <w:tcW w:w="8472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7AA9C6C7" w14:textId="77777777" w:rsidR="00CC1EC5" w:rsidRPr="00313C26" w:rsidRDefault="00CC1EC5" w:rsidP="00E30CBA">
            <w:pPr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Learning outcomes</w:t>
            </w:r>
          </w:p>
        </w:tc>
      </w:tr>
      <w:tr w:rsidR="00313C26" w:rsidRPr="00313C26" w14:paraId="502264C9" w14:textId="77777777" w:rsidTr="00E30CBA">
        <w:tc>
          <w:tcPr>
            <w:tcW w:w="8472" w:type="dxa"/>
            <w:gridSpan w:val="2"/>
            <w:tcBorders>
              <w:top w:val="nil"/>
            </w:tcBorders>
            <w:shd w:val="clear" w:color="auto" w:fill="D0CECE" w:themeFill="background2" w:themeFillShade="E6"/>
          </w:tcPr>
          <w:p w14:paraId="32B28840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The course learning outcomes, specific knowledge, </w:t>
            </w: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skills</w:t>
            </w:r>
            <w:proofErr w:type="gramEnd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 and competences of an appropriate level, which the students will acquire with the successful completion of the course are described.</w:t>
            </w:r>
          </w:p>
          <w:p w14:paraId="0621C40A" w14:textId="77777777" w:rsidR="00CC1EC5" w:rsidRPr="00313C26" w:rsidRDefault="00CC1EC5" w:rsidP="00E30CBA">
            <w:pPr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Consult Appendix A </w:t>
            </w:r>
          </w:p>
          <w:p w14:paraId="586A5D5E" w14:textId="77777777" w:rsidR="00CC1EC5" w:rsidRPr="00313C26" w:rsidRDefault="00CC1EC5" w:rsidP="00CC1E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Description of the level of learning outcomes for each qualifications cycle, according to the Qualifications Framework of the European Higher Education Area</w:t>
            </w:r>
          </w:p>
          <w:p w14:paraId="038CBFA9" w14:textId="77777777" w:rsidR="00CC1EC5" w:rsidRPr="00313C26" w:rsidRDefault="00CC1EC5" w:rsidP="00CC1E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Descriptors for Levels 6, 7 &amp; 8 of the European Qualifications Framework for Lifelong Learning and Appendix B</w:t>
            </w:r>
          </w:p>
          <w:p w14:paraId="49A16812" w14:textId="77777777" w:rsidR="00CC1EC5" w:rsidRPr="00313C26" w:rsidRDefault="00CC1EC5" w:rsidP="00CC1EC5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313" w:hanging="219"/>
              <w:contextualSpacing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Guidelines for writing Learning Outcomes </w:t>
            </w:r>
          </w:p>
        </w:tc>
      </w:tr>
      <w:tr w:rsidR="00313C26" w:rsidRPr="00313C26" w14:paraId="5EFE903C" w14:textId="77777777" w:rsidTr="00E30CBA">
        <w:tc>
          <w:tcPr>
            <w:tcW w:w="8472" w:type="dxa"/>
            <w:gridSpan w:val="2"/>
          </w:tcPr>
          <w:p w14:paraId="321C1D08" w14:textId="77777777" w:rsidR="00C91CB6" w:rsidRPr="00827DB7" w:rsidRDefault="00C91CB6" w:rsidP="00C91C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Desired learning outcomes:</w:t>
            </w:r>
          </w:p>
          <w:p w14:paraId="01223BD0" w14:textId="77777777" w:rsidR="00827DB7" w:rsidRPr="00827DB7" w:rsidRDefault="00FC51BF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Familiarization with </w:t>
            </w:r>
            <w:r w:rsidR="00827DB7"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experimental testing</w:t>
            </w:r>
          </w:p>
          <w:p w14:paraId="20E37AB0" w14:textId="27A939FF" w:rsidR="00FC51BF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Use of dimensional analysis for determining </w:t>
            </w: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properties</w:t>
            </w: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of scaled specimens </w:t>
            </w:r>
          </w:p>
          <w:p w14:paraId="2CDA93D6" w14:textId="4B9755FA" w:rsidR="00FC51BF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Design of experimental setups</w:t>
            </w:r>
          </w:p>
          <w:p w14:paraId="42531FC5" w14:textId="4EF4C757" w:rsidR="00827DB7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Use of technologies available for structural testing</w:t>
            </w:r>
          </w:p>
          <w:p w14:paraId="284DF0E5" w14:textId="29ABF957" w:rsidR="00CC0D35" w:rsidRPr="00827DB7" w:rsidRDefault="00827DB7" w:rsidP="00827D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O</w:t>
            </w: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peration</w:t>
            </w: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al</w:t>
            </w: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</w:t>
            </w: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knowledge of testing systems</w:t>
            </w:r>
            <w:r w:rsidR="0015522D"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.</w:t>
            </w:r>
          </w:p>
          <w:p w14:paraId="7A438EDF" w14:textId="77777777" w:rsidR="00827DB7" w:rsidRDefault="00827DB7" w:rsidP="00C91C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</w:p>
          <w:p w14:paraId="3DA7DEAD" w14:textId="1C94245C" w:rsidR="00C91CB6" w:rsidRPr="00827DB7" w:rsidRDefault="00C91CB6" w:rsidP="00C91CB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lastRenderedPageBreak/>
              <w:t>Specific knowledge and competences:</w:t>
            </w:r>
          </w:p>
          <w:p w14:paraId="63E0314E" w14:textId="420EB881" w:rsidR="00CC0D35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Application of dimensional analysis techniques</w:t>
            </w:r>
          </w:p>
          <w:p w14:paraId="49C8FCF6" w14:textId="6A55D8F3" w:rsidR="00827DB7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Design of experimental setups for static, dynamic and hybrid tests</w:t>
            </w:r>
          </w:p>
          <w:p w14:paraId="7A70D584" w14:textId="139680AF" w:rsidR="00827DB7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Use of innovative methods for distributed testing</w:t>
            </w:r>
          </w:p>
          <w:p w14:paraId="0FD38255" w14:textId="3816BFE3" w:rsidR="00827DB7" w:rsidRPr="00827DB7" w:rsidRDefault="00827DB7" w:rsidP="00CC0D35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Design and organization of instrumentation</w:t>
            </w:r>
          </w:p>
          <w:p w14:paraId="0E4743BE" w14:textId="499F171F" w:rsidR="00CC1EC5" w:rsidRPr="00313C26" w:rsidRDefault="00CC1EC5" w:rsidP="00CC0D35">
            <w:pPr>
              <w:jc w:val="both"/>
              <w:rPr>
                <w:rFonts w:asciiTheme="majorHAnsi" w:hAnsiTheme="majorHAnsi" w:cs="Arial"/>
                <w:i/>
                <w:color w:val="000000" w:themeColor="text1"/>
                <w:lang w:val="en-GB"/>
              </w:rPr>
            </w:pPr>
          </w:p>
        </w:tc>
      </w:tr>
      <w:tr w:rsidR="00313C26" w:rsidRPr="00313C26" w14:paraId="2A019DCA" w14:textId="77777777" w:rsidTr="00E30CBA">
        <w:tblPrEx>
          <w:tblLook w:val="0000" w:firstRow="0" w:lastRow="0" w:firstColumn="0" w:lastColumn="0" w:noHBand="0" w:noVBand="0"/>
        </w:tblPrEx>
        <w:tc>
          <w:tcPr>
            <w:tcW w:w="8472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66F0412F" w14:textId="77777777" w:rsidR="00CC1EC5" w:rsidRPr="00313C26" w:rsidRDefault="00CC1EC5" w:rsidP="00E30CBA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 xml:space="preserve">General Competences </w:t>
            </w:r>
          </w:p>
        </w:tc>
      </w:tr>
      <w:tr w:rsidR="00313C26" w:rsidRPr="00313C26" w14:paraId="2BD52EEE" w14:textId="77777777" w:rsidTr="00E30CBA">
        <w:tc>
          <w:tcPr>
            <w:tcW w:w="8472" w:type="dxa"/>
            <w:gridSpan w:val="2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B0F0F93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Taking into consideration the general competences that the degree-holder must acquire (as these appear in the Diploma Supplement and appear below), at which of the following does the course aim?</w:t>
            </w:r>
          </w:p>
        </w:tc>
      </w:tr>
      <w:tr w:rsidR="00313C26" w:rsidRPr="00313C26" w14:paraId="510CBF35" w14:textId="77777777" w:rsidTr="00E30CBA">
        <w:tblPrEx>
          <w:tblLook w:val="0000" w:firstRow="0" w:lastRow="0" w:firstColumn="0" w:lastColumn="0" w:noHBand="0" w:noVBand="0"/>
        </w:tblPrEx>
        <w:tc>
          <w:tcPr>
            <w:tcW w:w="3964" w:type="dxa"/>
            <w:tcBorders>
              <w:top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2C76209A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Search for, analysis and synthesis of data and information, with the use of the necessary technology </w:t>
            </w:r>
          </w:p>
          <w:p w14:paraId="4ACD7A01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Adapting to new situations </w:t>
            </w:r>
          </w:p>
          <w:p w14:paraId="47CE4BD5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Decision-making </w:t>
            </w:r>
          </w:p>
          <w:p w14:paraId="5040118E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Working independently </w:t>
            </w:r>
          </w:p>
          <w:p w14:paraId="44EE52FF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Team work</w:t>
            </w:r>
            <w:proofErr w:type="gramEnd"/>
          </w:p>
          <w:p w14:paraId="05F2D562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Working in an international environment </w:t>
            </w:r>
          </w:p>
          <w:p w14:paraId="4FF0D4C9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Working in an interdisciplinary environment </w:t>
            </w:r>
          </w:p>
          <w:p w14:paraId="65200819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Production of new research ideas </w:t>
            </w:r>
          </w:p>
        </w:tc>
        <w:tc>
          <w:tcPr>
            <w:tcW w:w="4508" w:type="dxa"/>
            <w:tcBorders>
              <w:top w:val="nil"/>
              <w:left w:val="nil"/>
              <w:bottom w:val="single" w:sz="4" w:space="0" w:color="auto"/>
            </w:tcBorders>
            <w:shd w:val="clear" w:color="auto" w:fill="D0CECE" w:themeFill="background2" w:themeFillShade="E6"/>
          </w:tcPr>
          <w:p w14:paraId="18E38233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Project planning and management </w:t>
            </w:r>
          </w:p>
          <w:p w14:paraId="6B068D35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Respect for difference and multiculturalism </w:t>
            </w:r>
          </w:p>
          <w:p w14:paraId="75640A4F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Respect for the natural environment </w:t>
            </w:r>
          </w:p>
          <w:p w14:paraId="19EC73CF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Showing social, </w:t>
            </w: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professional</w:t>
            </w:r>
            <w:proofErr w:type="gramEnd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 and ethical responsibility and sensitivity to gender issues </w:t>
            </w:r>
          </w:p>
          <w:p w14:paraId="1F239076" w14:textId="77777777" w:rsidR="00CC1EC5" w:rsidRPr="00313C26" w:rsidRDefault="00CC1EC5" w:rsidP="00E30CB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Criticism and self-criticism </w:t>
            </w:r>
          </w:p>
          <w:p w14:paraId="3269C48D" w14:textId="77777777" w:rsidR="00CC1EC5" w:rsidRPr="00313C26" w:rsidRDefault="00CC1EC5" w:rsidP="00E30CBA">
            <w:pPr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Production of free, </w:t>
            </w: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creative</w:t>
            </w:r>
            <w:proofErr w:type="gramEnd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 and inductive thinking</w:t>
            </w:r>
          </w:p>
          <w:p w14:paraId="1EA62C37" w14:textId="77777777" w:rsidR="00CC1EC5" w:rsidRPr="00313C26" w:rsidRDefault="00CC1EC5" w:rsidP="00E30CBA">
            <w:pPr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……</w:t>
            </w:r>
          </w:p>
          <w:p w14:paraId="67FB0F66" w14:textId="77777777" w:rsidR="00CC1EC5" w:rsidRPr="00313C26" w:rsidRDefault="00CC1EC5" w:rsidP="00E30CBA">
            <w:pPr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Others…</w:t>
            </w:r>
          </w:p>
          <w:p w14:paraId="258A9898" w14:textId="77777777" w:rsidR="00CC1EC5" w:rsidRPr="00313C26" w:rsidRDefault="00CC1EC5" w:rsidP="00E30CBA">
            <w:pPr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…….</w:t>
            </w:r>
          </w:p>
        </w:tc>
      </w:tr>
      <w:tr w:rsidR="00313C26" w:rsidRPr="00313C26" w14:paraId="366104C9" w14:textId="77777777" w:rsidTr="00E30CBA">
        <w:tc>
          <w:tcPr>
            <w:tcW w:w="8472" w:type="dxa"/>
            <w:gridSpan w:val="2"/>
            <w:tcBorders>
              <w:bottom w:val="single" w:sz="4" w:space="0" w:color="auto"/>
            </w:tcBorders>
          </w:tcPr>
          <w:p w14:paraId="2C520F3B" w14:textId="77777777" w:rsidR="00CC0D35" w:rsidRPr="00827DB7" w:rsidRDefault="00CC0D35" w:rsidP="00CC0D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Search for, analysis and synthesis of data and information, with the use of the necessary technology</w:t>
            </w:r>
          </w:p>
          <w:p w14:paraId="631F12D0" w14:textId="77777777" w:rsidR="00CC0D35" w:rsidRPr="00827DB7" w:rsidRDefault="00CC0D35" w:rsidP="00CC0D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Decision making </w:t>
            </w:r>
          </w:p>
          <w:p w14:paraId="7885CD32" w14:textId="77777777" w:rsidR="0015522D" w:rsidRPr="00827DB7" w:rsidRDefault="0015522D" w:rsidP="0015522D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Working independently </w:t>
            </w:r>
          </w:p>
          <w:p w14:paraId="37335550" w14:textId="77777777" w:rsidR="00CC0D35" w:rsidRPr="00827DB7" w:rsidRDefault="00CC0D35" w:rsidP="00CC0D3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Working in an interdisciplinary environment </w:t>
            </w:r>
          </w:p>
          <w:p w14:paraId="21B4F67E" w14:textId="58EED243" w:rsidR="00CC1EC5" w:rsidRPr="00827DB7" w:rsidRDefault="0015522D" w:rsidP="00827DB7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Project planning and management</w:t>
            </w:r>
          </w:p>
        </w:tc>
      </w:tr>
    </w:tbl>
    <w:p w14:paraId="430151A9" w14:textId="77777777" w:rsidR="00CC1EC5" w:rsidRPr="00313C26" w:rsidRDefault="00CC1E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</w:pPr>
      <w:r w:rsidRPr="00313C26"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  <w:t>SYLLABUS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446A11" w:rsidRPr="00313C26" w14:paraId="74C3C4EE" w14:textId="77777777" w:rsidTr="00446A11">
        <w:tc>
          <w:tcPr>
            <w:tcW w:w="8472" w:type="dxa"/>
          </w:tcPr>
          <w:p w14:paraId="6915A3AC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Basic knowledge for designing an experimental campaign scope of the testing, etc.</w:t>
            </w:r>
          </w:p>
          <w:p w14:paraId="7E34E003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Dimensional analysis, similitude requirements, true and distorted models, scaled tests</w:t>
            </w:r>
          </w:p>
          <w:p w14:paraId="4D82CDD2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Testing methods: static, dynamic, hybrid, artificial excitation</w:t>
            </w:r>
          </w:p>
          <w:p w14:paraId="2E1EDF83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Principles of designing test set-ups, planning and preparation.</w:t>
            </w:r>
          </w:p>
          <w:p w14:paraId="71715F7B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proofErr w:type="spellStart"/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Servohydraulic</w:t>
            </w:r>
            <w:proofErr w:type="spellEnd"/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 testing systems: loading systems (actuators, </w:t>
            </w:r>
            <w:proofErr w:type="spellStart"/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servovalves</w:t>
            </w:r>
            <w:proofErr w:type="spellEnd"/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 xml:space="preserve">, pumps), system control (control theory, PID control, </w:t>
            </w:r>
            <w:proofErr w:type="spellStart"/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etc</w:t>
            </w:r>
            <w:proofErr w:type="spellEnd"/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) </w:t>
            </w:r>
          </w:p>
          <w:p w14:paraId="2568E90C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Sensors. Principles of operation, sensor characteristics, sensor mounting. converters</w:t>
            </w:r>
          </w:p>
          <w:p w14:paraId="44C13279" w14:textId="77777777" w:rsidR="001D0DC5" w:rsidRPr="00827DB7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Data collection, data acquisition (hardware and software), data analysis and presentation</w:t>
            </w:r>
          </w:p>
          <w:p w14:paraId="3CA72F06" w14:textId="199716C9" w:rsidR="00143B74" w:rsidRPr="001D0DC5" w:rsidRDefault="001D0DC5" w:rsidP="001D0DC5">
            <w:pPr>
              <w:pStyle w:val="NormalWeb"/>
              <w:numPr>
                <w:ilvl w:val="0"/>
                <w:numId w:val="9"/>
              </w:numPr>
              <w:spacing w:before="0" w:beforeAutospacing="0" w:after="0" w:afterAutospacing="0"/>
              <w:rPr>
                <w:rFonts w:asciiTheme="minorHAnsi" w:hAnsiTheme="minorHAnsi" w:cs="Arial"/>
                <w:color w:val="555555"/>
              </w:rPr>
            </w:pPr>
            <w:r w:rsidRPr="00827DB7">
              <w:rPr>
                <w:rFonts w:asciiTheme="minorHAnsi" w:hAnsiTheme="minorHAnsi" w:cs="Arial"/>
                <w:color w:val="000000" w:themeColor="text1"/>
                <w:sz w:val="20"/>
                <w:szCs w:val="20"/>
              </w:rPr>
              <w:t>Structural monitoring, in-situ artificial vibration testing</w:t>
            </w:r>
          </w:p>
        </w:tc>
      </w:tr>
    </w:tbl>
    <w:p w14:paraId="24652982" w14:textId="77777777" w:rsidR="00CC1EC5" w:rsidRPr="00313C26" w:rsidRDefault="00CC1EC5" w:rsidP="001A7AF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200" w:line="276" w:lineRule="auto"/>
        <w:ind w:left="357" w:hanging="357"/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</w:pPr>
      <w:r w:rsidRPr="00313C26"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  <w:t>TEACHING and LEARNING METHODS - EVALUATION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06"/>
        <w:gridCol w:w="5166"/>
      </w:tblGrid>
      <w:tr w:rsidR="00313C26" w:rsidRPr="00313C26" w14:paraId="53837AA1" w14:textId="77777777" w:rsidTr="00E30CBA">
        <w:tc>
          <w:tcPr>
            <w:tcW w:w="3306" w:type="dxa"/>
            <w:shd w:val="clear" w:color="auto" w:fill="D0CECE" w:themeFill="background2" w:themeFillShade="E6"/>
          </w:tcPr>
          <w:p w14:paraId="57F61C51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DELIVERY</w:t>
            </w: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br/>
            </w: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Face-to-face, Distance learning, etc.</w:t>
            </w:r>
          </w:p>
        </w:tc>
        <w:tc>
          <w:tcPr>
            <w:tcW w:w="5166" w:type="dxa"/>
          </w:tcPr>
          <w:p w14:paraId="17A94331" w14:textId="3BE61384" w:rsidR="00CC1EC5" w:rsidRPr="00827DB7" w:rsidRDefault="001D0DC5" w:rsidP="00E30CBA">
            <w:pPr>
              <w:spacing w:after="200" w:line="276" w:lineRule="auto"/>
              <w:rPr>
                <w:rFonts w:asciiTheme="minorHAnsi" w:eastAsia="Calibri" w:hAnsiTheme="minorHAnsi" w:cstheme="minorHAnsi"/>
                <w:iCs/>
                <w:color w:val="000000" w:themeColor="text1"/>
                <w:sz w:val="20"/>
                <w:szCs w:val="20"/>
                <w:lang w:val="en-GB"/>
              </w:rPr>
            </w:pPr>
            <w:r w:rsidRPr="00827DB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In class</w:t>
            </w:r>
          </w:p>
        </w:tc>
      </w:tr>
      <w:tr w:rsidR="00313C26" w:rsidRPr="00313C26" w14:paraId="20EC710A" w14:textId="77777777" w:rsidTr="00E30CBA">
        <w:tc>
          <w:tcPr>
            <w:tcW w:w="3306" w:type="dxa"/>
            <w:shd w:val="clear" w:color="auto" w:fill="D0CECE" w:themeFill="background2" w:themeFillShade="E6"/>
          </w:tcPr>
          <w:p w14:paraId="7604456E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 xml:space="preserve">USE OF INFORMATION AND COMMUNICATIONS TECHNOLOGY </w:t>
            </w: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br/>
            </w: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Use of ICT in teaching, laboratory education, communication with students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1B6E5273" w14:textId="048782BA" w:rsidR="00C91CB6" w:rsidRPr="00827DB7" w:rsidRDefault="00C91CB6" w:rsidP="0082780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Open access software tools &amp; platforms</w:t>
            </w:r>
          </w:p>
          <w:p w14:paraId="5DAECFE4" w14:textId="08346FBD" w:rsidR="001D0DC5" w:rsidRPr="00827DB7" w:rsidRDefault="001D0DC5" w:rsidP="00827804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27DB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Laboratory equipment</w:t>
            </w:r>
          </w:p>
          <w:p w14:paraId="1CE89017" w14:textId="17F7E08D" w:rsidR="00CC1EC5" w:rsidRPr="00827DB7" w:rsidRDefault="00C91CB6" w:rsidP="00827804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val="en-GB"/>
              </w:rPr>
            </w:pPr>
            <w:r w:rsidRPr="00827DB7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Support of the learning process using the e-class platform</w:t>
            </w:r>
          </w:p>
        </w:tc>
      </w:tr>
      <w:tr w:rsidR="00313C26" w:rsidRPr="00313C26" w14:paraId="09F652B0" w14:textId="77777777" w:rsidTr="00E30CBA">
        <w:tc>
          <w:tcPr>
            <w:tcW w:w="3306" w:type="dxa"/>
            <w:shd w:val="clear" w:color="auto" w:fill="D0CECE" w:themeFill="background2" w:themeFillShade="E6"/>
          </w:tcPr>
          <w:p w14:paraId="29B94654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>TEACHING METHODS</w:t>
            </w:r>
          </w:p>
          <w:p w14:paraId="43CBD91C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The manner and methods of teaching are described in detail.</w:t>
            </w:r>
          </w:p>
          <w:p w14:paraId="7E54E3C8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Lectures, seminars, laboratory practice, fieldwork, study and analysis of bibliography, tutorials, placements, clinical practice, art workshop, interactive teaching, educational visits, project, essay writing, artistic creativity, etc.</w:t>
            </w:r>
          </w:p>
          <w:p w14:paraId="19B35CFB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</w:p>
          <w:p w14:paraId="1102BD43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The student's study hours for each learning activity are given as well as the hours of non-directed study according to the principles of the ECTS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tbl>
            <w:tblPr>
              <w:tblStyle w:val="TableGrid3"/>
              <w:tblW w:w="0" w:type="auto"/>
              <w:tblLook w:val="04A0" w:firstRow="1" w:lastRow="0" w:firstColumn="1" w:lastColumn="0" w:noHBand="0" w:noVBand="1"/>
            </w:tblPr>
            <w:tblGrid>
              <w:gridCol w:w="3081"/>
              <w:gridCol w:w="1854"/>
            </w:tblGrid>
            <w:tr w:rsidR="00313C26" w:rsidRPr="00313C26" w14:paraId="544C7486" w14:textId="77777777" w:rsidTr="00605BD4">
              <w:tc>
                <w:tcPr>
                  <w:tcW w:w="3081" w:type="dxa"/>
                  <w:shd w:val="clear" w:color="auto" w:fill="D0CECE" w:themeFill="background2" w:themeFillShade="E6"/>
                  <w:vAlign w:val="center"/>
                </w:tcPr>
                <w:p w14:paraId="31237008" w14:textId="77777777" w:rsidR="00CC1EC5" w:rsidRPr="00313C26" w:rsidRDefault="00CC1EC5" w:rsidP="00E30CBA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313C26"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0"/>
                      <w:szCs w:val="20"/>
                      <w:lang w:val="en-GB"/>
                    </w:rPr>
                    <w:t>Activity</w:t>
                  </w:r>
                </w:p>
              </w:tc>
              <w:tc>
                <w:tcPr>
                  <w:tcW w:w="1854" w:type="dxa"/>
                  <w:shd w:val="clear" w:color="auto" w:fill="D0CECE" w:themeFill="background2" w:themeFillShade="E6"/>
                  <w:vAlign w:val="center"/>
                </w:tcPr>
                <w:p w14:paraId="378DC1B1" w14:textId="77777777" w:rsidR="00CC1EC5" w:rsidRPr="00313C26" w:rsidRDefault="00CC1EC5" w:rsidP="00E30CBA">
                  <w:pPr>
                    <w:jc w:val="center"/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313C26">
                    <w:rPr>
                      <w:rFonts w:asciiTheme="majorHAnsi" w:hAnsiTheme="majorHAnsi" w:cs="Arial"/>
                      <w:b/>
                      <w:i/>
                      <w:color w:val="000000" w:themeColor="text1"/>
                      <w:sz w:val="20"/>
                      <w:szCs w:val="20"/>
                      <w:lang w:val="en-GB"/>
                    </w:rPr>
                    <w:t>Semester workload</w:t>
                  </w:r>
                </w:p>
              </w:tc>
            </w:tr>
            <w:tr w:rsidR="00313C26" w:rsidRPr="00313C26" w14:paraId="16D3C5FD" w14:textId="77777777" w:rsidTr="00605BD4">
              <w:tc>
                <w:tcPr>
                  <w:tcW w:w="3081" w:type="dxa"/>
                </w:tcPr>
                <w:p w14:paraId="141F0EA0" w14:textId="4EF157F7" w:rsidR="00605BD4" w:rsidRPr="00827DB7" w:rsidRDefault="00605BD4" w:rsidP="00605BD4">
                  <w:pPr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Lectures (3 hours per week)</w:t>
                  </w:r>
                </w:p>
              </w:tc>
              <w:tc>
                <w:tcPr>
                  <w:tcW w:w="1854" w:type="dxa"/>
                </w:tcPr>
                <w:p w14:paraId="0680D0B8" w14:textId="438CE97F" w:rsidR="00605BD4" w:rsidRPr="00827DB7" w:rsidRDefault="00605BD4" w:rsidP="00605BD4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39</w:t>
                  </w:r>
                </w:p>
              </w:tc>
            </w:tr>
            <w:tr w:rsidR="00313C26" w:rsidRPr="00313C26" w14:paraId="765A2EFF" w14:textId="77777777" w:rsidTr="00605BD4">
              <w:tc>
                <w:tcPr>
                  <w:tcW w:w="3081" w:type="dxa"/>
                  <w:shd w:val="clear" w:color="auto" w:fill="auto"/>
                </w:tcPr>
                <w:p w14:paraId="555F35A7" w14:textId="5D94F94E" w:rsidR="00605BD4" w:rsidRPr="00827DB7" w:rsidRDefault="00605BD4" w:rsidP="00605BD4">
                  <w:pPr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Home study - literature search and review</w:t>
                  </w:r>
                </w:p>
              </w:tc>
              <w:tc>
                <w:tcPr>
                  <w:tcW w:w="1854" w:type="dxa"/>
                </w:tcPr>
                <w:p w14:paraId="409A3118" w14:textId="45B8E201" w:rsidR="00605BD4" w:rsidRPr="00827DB7" w:rsidRDefault="00827DB7" w:rsidP="00605BD4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50</w:t>
                  </w:r>
                </w:p>
              </w:tc>
            </w:tr>
            <w:tr w:rsidR="00313C26" w:rsidRPr="00313C26" w14:paraId="6596D486" w14:textId="77777777" w:rsidTr="00605BD4">
              <w:tc>
                <w:tcPr>
                  <w:tcW w:w="3081" w:type="dxa"/>
                  <w:shd w:val="clear" w:color="auto" w:fill="auto"/>
                </w:tcPr>
                <w:p w14:paraId="7CC9DF33" w14:textId="679FF794" w:rsidR="00605BD4" w:rsidRPr="00827DB7" w:rsidRDefault="00827DB7" w:rsidP="00605BD4">
                  <w:pPr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Laboratory tests</w:t>
                  </w:r>
                </w:p>
              </w:tc>
              <w:tc>
                <w:tcPr>
                  <w:tcW w:w="1854" w:type="dxa"/>
                </w:tcPr>
                <w:p w14:paraId="67849D63" w14:textId="36059938" w:rsidR="00605BD4" w:rsidRPr="00827DB7" w:rsidRDefault="00827DB7" w:rsidP="00605BD4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25,5</w:t>
                  </w:r>
                </w:p>
              </w:tc>
            </w:tr>
            <w:tr w:rsidR="00313C26" w:rsidRPr="00313C26" w14:paraId="5095B2A5" w14:textId="77777777" w:rsidTr="00605BD4">
              <w:tc>
                <w:tcPr>
                  <w:tcW w:w="3081" w:type="dxa"/>
                  <w:shd w:val="clear" w:color="auto" w:fill="auto"/>
                </w:tcPr>
                <w:p w14:paraId="666418A8" w14:textId="27DAF9DD" w:rsidR="00605BD4" w:rsidRPr="00827DB7" w:rsidRDefault="00827DB7" w:rsidP="00605BD4">
                  <w:pPr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Elaboration of experimental data - laboratory reports</w:t>
                  </w:r>
                </w:p>
              </w:tc>
              <w:tc>
                <w:tcPr>
                  <w:tcW w:w="1854" w:type="dxa"/>
                </w:tcPr>
                <w:p w14:paraId="2912C82A" w14:textId="03D9958B" w:rsidR="00605BD4" w:rsidRPr="00827DB7" w:rsidRDefault="00827DB7" w:rsidP="00605BD4">
                  <w:pPr>
                    <w:jc w:val="center"/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48</w:t>
                  </w:r>
                </w:p>
              </w:tc>
            </w:tr>
            <w:tr w:rsidR="00313C26" w:rsidRPr="00313C26" w14:paraId="1CB62D84" w14:textId="77777777" w:rsidTr="00605BD4">
              <w:tc>
                <w:tcPr>
                  <w:tcW w:w="3081" w:type="dxa"/>
                  <w:shd w:val="clear" w:color="auto" w:fill="auto"/>
                </w:tcPr>
                <w:p w14:paraId="19F35769" w14:textId="21F79477" w:rsidR="00605BD4" w:rsidRPr="00827DB7" w:rsidRDefault="00827DB7" w:rsidP="00605BD4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proofErr w:type="spellStart"/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Homework</w:t>
                  </w: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s</w:t>
                  </w:r>
                  <w:proofErr w:type="spellEnd"/>
                </w:p>
              </w:tc>
              <w:tc>
                <w:tcPr>
                  <w:tcW w:w="1854" w:type="dxa"/>
                </w:tcPr>
                <w:p w14:paraId="276D071A" w14:textId="2C247208" w:rsidR="00605BD4" w:rsidRPr="00827DB7" w:rsidRDefault="00827DB7" w:rsidP="00605BD4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15</w:t>
                  </w:r>
                </w:p>
              </w:tc>
            </w:tr>
            <w:tr w:rsidR="00313C26" w:rsidRPr="00313C26" w14:paraId="0378692B" w14:textId="77777777" w:rsidTr="00605BD4">
              <w:tc>
                <w:tcPr>
                  <w:tcW w:w="3081" w:type="dxa"/>
                  <w:shd w:val="clear" w:color="auto" w:fill="auto"/>
                </w:tcPr>
                <w:p w14:paraId="13FCD5DB" w14:textId="3BDD98F8" w:rsidR="00605BD4" w:rsidRPr="00827DB7" w:rsidRDefault="00827DB7" w:rsidP="00605BD4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Final exam preparation</w:t>
                  </w:r>
                </w:p>
              </w:tc>
              <w:tc>
                <w:tcPr>
                  <w:tcW w:w="1854" w:type="dxa"/>
                </w:tcPr>
                <w:p w14:paraId="65A4EF2C" w14:textId="7DC05AEE" w:rsidR="00605BD4" w:rsidRPr="00827DB7" w:rsidRDefault="00827DB7" w:rsidP="00605BD4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="Arial"/>
                      <w:color w:val="000000" w:themeColor="text1"/>
                      <w:sz w:val="20"/>
                      <w:szCs w:val="20"/>
                      <w:lang w:val="en-GB"/>
                    </w:rPr>
                    <w:t>10</w:t>
                  </w:r>
                </w:p>
              </w:tc>
            </w:tr>
            <w:tr w:rsidR="00827DB7" w:rsidRPr="00313C26" w14:paraId="46709A47" w14:textId="77777777" w:rsidTr="00605BD4">
              <w:tc>
                <w:tcPr>
                  <w:tcW w:w="3081" w:type="dxa"/>
                  <w:shd w:val="clear" w:color="auto" w:fill="auto"/>
                </w:tcPr>
                <w:p w14:paraId="293D8B6C" w14:textId="286EC08D" w:rsidR="00827DB7" w:rsidRPr="00827DB7" w:rsidRDefault="00827DB7" w:rsidP="00827DB7">
                  <w:pPr>
                    <w:rPr>
                      <w:rFonts w:asciiTheme="minorHAnsi" w:hAnsiTheme="minorHAnsi" w:cstheme="minorHAnsi"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  <w:tc>
                <w:tcPr>
                  <w:tcW w:w="1854" w:type="dxa"/>
                </w:tcPr>
                <w:p w14:paraId="391A7112" w14:textId="53018E63" w:rsidR="00827DB7" w:rsidRPr="00827DB7" w:rsidRDefault="00827DB7" w:rsidP="00827DB7">
                  <w:pPr>
                    <w:jc w:val="center"/>
                    <w:rPr>
                      <w:rFonts w:asciiTheme="minorHAnsi" w:hAnsiTheme="minorHAnsi"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827DB7" w:rsidRPr="00313C26" w14:paraId="4CBAC4ED" w14:textId="77777777" w:rsidTr="00605BD4">
              <w:tc>
                <w:tcPr>
                  <w:tcW w:w="3081" w:type="dxa"/>
                </w:tcPr>
                <w:p w14:paraId="68DB6E5B" w14:textId="77777777" w:rsidR="00827DB7" w:rsidRPr="00827DB7" w:rsidRDefault="00827DB7" w:rsidP="00827DB7">
                  <w:pPr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827DB7">
                    <w:rPr>
                      <w:rFonts w:asciiTheme="minorHAnsi" w:hAnsiTheme="minorHAnsi" w:cstheme="minorHAnsi"/>
                      <w:i/>
                      <w:iCs/>
                      <w:color w:val="000000" w:themeColor="text1"/>
                      <w:sz w:val="20"/>
                      <w:szCs w:val="20"/>
                      <w:lang w:val="en-GB"/>
                    </w:rPr>
                    <w:t xml:space="preserve">Course total </w:t>
                  </w:r>
                </w:p>
              </w:tc>
              <w:tc>
                <w:tcPr>
                  <w:tcW w:w="1854" w:type="dxa"/>
                  <w:vAlign w:val="center"/>
                </w:tcPr>
                <w:p w14:paraId="45258DB9" w14:textId="6E99A2CA" w:rsidR="00827DB7" w:rsidRPr="00827DB7" w:rsidRDefault="00827DB7" w:rsidP="00827DB7">
                  <w:pPr>
                    <w:jc w:val="center"/>
                    <w:rPr>
                      <w:rFonts w:asciiTheme="minorHAnsi" w:hAnsiTheme="minorHAnsi"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</w:pPr>
                  <w:r w:rsidRPr="00827DB7">
                    <w:rPr>
                      <w:rFonts w:asciiTheme="minorHAnsi" w:hAnsiTheme="minorHAnsi" w:cstheme="minorHAnsi"/>
                      <w:bCs/>
                      <w:i/>
                      <w:color w:val="000000" w:themeColor="text1"/>
                      <w:sz w:val="20"/>
                      <w:szCs w:val="20"/>
                    </w:rPr>
                    <w:t>187,5</w:t>
                  </w:r>
                </w:p>
              </w:tc>
            </w:tr>
          </w:tbl>
          <w:p w14:paraId="3421A651" w14:textId="77777777" w:rsidR="00CC1EC5" w:rsidRPr="00313C26" w:rsidRDefault="00CC1EC5" w:rsidP="00E30CBA">
            <w:pPr>
              <w:rPr>
                <w:rFonts w:asciiTheme="majorHAnsi" w:hAnsiTheme="majorHAnsi" w:cs="Tahoma"/>
                <w:color w:val="000000" w:themeColor="text1"/>
                <w:lang w:val="en-GB"/>
              </w:rPr>
            </w:pPr>
          </w:p>
        </w:tc>
      </w:tr>
      <w:tr w:rsidR="00313C26" w:rsidRPr="00313C26" w14:paraId="201632E6" w14:textId="77777777" w:rsidTr="00E30CBA">
        <w:tc>
          <w:tcPr>
            <w:tcW w:w="3306" w:type="dxa"/>
          </w:tcPr>
          <w:p w14:paraId="49CED492" w14:textId="77777777" w:rsidR="00CC1EC5" w:rsidRPr="00313C26" w:rsidRDefault="00CC1EC5" w:rsidP="00E30CBA">
            <w:pPr>
              <w:jc w:val="right"/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</w:pP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t xml:space="preserve">STUDENT PERFORMANCE </w:t>
            </w:r>
            <w:r w:rsidRPr="00313C26">
              <w:rPr>
                <w:rFonts w:asciiTheme="majorHAnsi" w:hAnsiTheme="majorHAnsi" w:cs="Arial"/>
                <w:b/>
                <w:color w:val="000000" w:themeColor="text1"/>
                <w:sz w:val="20"/>
                <w:szCs w:val="20"/>
                <w:lang w:val="en-GB"/>
              </w:rPr>
              <w:lastRenderedPageBreak/>
              <w:t>EVALUATION</w:t>
            </w:r>
          </w:p>
          <w:p w14:paraId="1EBDCC71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Description of the evaluation procedure</w:t>
            </w:r>
          </w:p>
          <w:p w14:paraId="7258D800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</w:p>
          <w:p w14:paraId="556366BE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Language of evaluation, methods of evaluation, summative or conclusive, </w:t>
            </w: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multiple choice</w:t>
            </w:r>
            <w:proofErr w:type="gramEnd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 questionnaires, short-answer questions, open-ended questions, problem solving, written work, essay/report, oral examination, public presentation, laboratory work, clinical examination of patient, art interpretation, other</w:t>
            </w:r>
          </w:p>
          <w:p w14:paraId="616972D8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</w:p>
          <w:p w14:paraId="2567B0EC" w14:textId="77777777" w:rsidR="00CC1EC5" w:rsidRPr="00313C26" w:rsidRDefault="00CC1EC5" w:rsidP="00E30CBA">
            <w:pPr>
              <w:jc w:val="both"/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</w:pPr>
            <w:proofErr w:type="gramStart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>Specifically-defined</w:t>
            </w:r>
            <w:proofErr w:type="gramEnd"/>
            <w:r w:rsidRPr="00313C26">
              <w:rPr>
                <w:rFonts w:asciiTheme="majorHAnsi" w:hAnsiTheme="majorHAnsi" w:cs="Arial"/>
                <w:i/>
                <w:color w:val="000000" w:themeColor="text1"/>
                <w:sz w:val="16"/>
                <w:szCs w:val="16"/>
                <w:lang w:val="en-GB"/>
              </w:rPr>
              <w:t xml:space="preserve"> evaluation criteria are given, and if and where they are accessible to students.</w:t>
            </w:r>
          </w:p>
        </w:tc>
        <w:tc>
          <w:tcPr>
            <w:tcW w:w="5166" w:type="dxa"/>
            <w:tcBorders>
              <w:bottom w:val="single" w:sz="4" w:space="0" w:color="auto"/>
            </w:tcBorders>
          </w:tcPr>
          <w:p w14:paraId="571C3366" w14:textId="77777777" w:rsidR="00605BD4" w:rsidRPr="00313C26" w:rsidRDefault="00605BD4" w:rsidP="00E30CBA">
            <w:pPr>
              <w:rPr>
                <w:rFonts w:asciiTheme="majorHAnsi" w:hAnsiTheme="majorHAnsi" w:cs="Arial"/>
                <w:color w:val="000000" w:themeColor="text1"/>
                <w:lang w:val="en-GB"/>
              </w:rPr>
            </w:pPr>
          </w:p>
          <w:p w14:paraId="2742FB41" w14:textId="4FADBC43" w:rsidR="00CC1EC5" w:rsidRPr="00BA70E2" w:rsidRDefault="00605BD4" w:rsidP="00E30CBA">
            <w:p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  <w:r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lastRenderedPageBreak/>
              <w:t>Based on</w:t>
            </w:r>
          </w:p>
          <w:p w14:paraId="241D5A56" w14:textId="0009F575" w:rsidR="00605BD4" w:rsidRPr="00BA70E2" w:rsidRDefault="00605BD4" w:rsidP="00605B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  <w:r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Homework (</w:t>
            </w:r>
            <w:r w:rsidR="00BA70E2"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20</w:t>
            </w:r>
            <w:r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%)</w:t>
            </w:r>
          </w:p>
          <w:p w14:paraId="191A30C5" w14:textId="07CA0797" w:rsidR="00BA70E2" w:rsidRPr="00BA70E2" w:rsidRDefault="00BA70E2" w:rsidP="00605BD4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</w:pPr>
            <w:r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Laboratory exercises (60%)</w:t>
            </w:r>
          </w:p>
          <w:p w14:paraId="4221A726" w14:textId="683623D8" w:rsidR="00605BD4" w:rsidRPr="00313C26" w:rsidRDefault="00605BD4" w:rsidP="00605BD4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 w:cs="Arial"/>
                <w:color w:val="000000" w:themeColor="text1"/>
                <w:lang w:val="en-GB"/>
              </w:rPr>
            </w:pPr>
            <w:r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Final exam (2</w:t>
            </w:r>
            <w:r w:rsidR="00BA70E2"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0</w:t>
            </w:r>
            <w:r w:rsidRPr="00BA70E2">
              <w:rPr>
                <w:rFonts w:asciiTheme="minorHAnsi" w:hAnsiTheme="minorHAnsi" w:cs="Arial"/>
                <w:color w:val="000000" w:themeColor="text1"/>
                <w:sz w:val="20"/>
                <w:szCs w:val="20"/>
                <w:lang w:val="en-GB"/>
              </w:rPr>
              <w:t>%)</w:t>
            </w:r>
          </w:p>
        </w:tc>
      </w:tr>
    </w:tbl>
    <w:p w14:paraId="0EAB7015" w14:textId="7A7E915F" w:rsidR="00CC1EC5" w:rsidRPr="00313C26" w:rsidRDefault="001D0DC5" w:rsidP="00CC1EC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40" w:after="200" w:line="276" w:lineRule="auto"/>
        <w:ind w:left="357" w:hanging="357"/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  <w:lastRenderedPageBreak/>
        <w:t xml:space="preserve">SUGGESTED </w:t>
      </w:r>
      <w:r w:rsidR="00CC1EC5" w:rsidRPr="00313C26">
        <w:rPr>
          <w:rFonts w:asciiTheme="majorHAnsi" w:hAnsiTheme="majorHAnsi" w:cs="Arial"/>
          <w:b/>
          <w:color w:val="000000" w:themeColor="text1"/>
          <w:sz w:val="22"/>
          <w:szCs w:val="22"/>
          <w:lang w:val="en-GB"/>
        </w:rPr>
        <w:t>BIBLIOGRAPHY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72"/>
      </w:tblGrid>
      <w:tr w:rsidR="00CC1EC5" w:rsidRPr="00313C26" w14:paraId="5B5637AD" w14:textId="77777777" w:rsidTr="00E30CBA">
        <w:tc>
          <w:tcPr>
            <w:tcW w:w="8472" w:type="dxa"/>
          </w:tcPr>
          <w:p w14:paraId="649BEB96" w14:textId="6C91EE3D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>ACI, SP24, ‘Models for Concrete Structures’, 1970.</w:t>
            </w:r>
          </w:p>
          <w:p w14:paraId="4CA9BFEB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>ACI, SP73, ‘Dynamic Modelling of Concrete Structures’, 1982.</w:t>
            </w:r>
          </w:p>
          <w:p w14:paraId="27347FD3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>Baker, W. et al., Similarity Methods in Engineering Dynamics, Elsevier, Amsterdam, 1991</w:t>
            </w:r>
          </w:p>
          <w:p w14:paraId="2418993F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Brückner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Steffen, ‘Dimensional Analysis Toolbox for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Matlab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’ Ver. 1.01, </w:t>
            </w:r>
            <w:hyperlink r:id="rId5" w:history="1">
              <w:r w:rsidRPr="00BA70E2">
                <w:rPr>
                  <w:rStyle w:val="Hyperlink"/>
                  <w:rFonts w:asciiTheme="minorHAnsi" w:hAnsiTheme="minorHAnsi" w:cstheme="minorHAnsi"/>
                  <w:sz w:val="20"/>
                </w:rPr>
                <w:t>www.sbrs.net</w:t>
              </w:r>
            </w:hyperlink>
            <w:r w:rsidRPr="00BA70E2">
              <w:rPr>
                <w:rFonts w:asciiTheme="minorHAnsi" w:hAnsiTheme="minorHAnsi" w:cstheme="minorHAnsi"/>
                <w:sz w:val="20"/>
              </w:rPr>
              <w:t>, 2002.</w:t>
            </w:r>
          </w:p>
          <w:p w14:paraId="5EBBC653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Harris, H.,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Sabnis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, G. ‘Structural Modeling and Experimental Techniques’, CRC Press, 1999.</w:t>
            </w:r>
          </w:p>
          <w:p w14:paraId="64B44015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>Abrams, D.P.</w:t>
            </w:r>
            <w:proofErr w:type="gramStart"/>
            <w:r w:rsidRPr="00BA70E2">
              <w:rPr>
                <w:rFonts w:asciiTheme="minorHAnsi" w:hAnsiTheme="minorHAnsi" w:cstheme="minorHAnsi"/>
                <w:sz w:val="20"/>
              </w:rPr>
              <w:t>,  Scale</w:t>
            </w:r>
            <w:proofErr w:type="gramEnd"/>
            <w:r w:rsidRPr="00BA70E2">
              <w:rPr>
                <w:rFonts w:asciiTheme="minorHAnsi" w:hAnsiTheme="minorHAnsi" w:cstheme="minorHAnsi"/>
                <w:sz w:val="20"/>
              </w:rPr>
              <w:t xml:space="preserve"> Relations for Reinforced Concrete Beam-Column Joints, ACI Structural Journal, 1987.</w:t>
            </w:r>
          </w:p>
          <w:p w14:paraId="720B4EFA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Alonso, A., Ramirez, J.L., Fernandez, J. Advanced Testing Techniques, 14th European Conf. on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Earthqake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 Engineering,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Ohrid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, 2010.</w:t>
            </w:r>
          </w:p>
          <w:p w14:paraId="36E1B57F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Blondet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M. And Esparza, C. ‘Analysis of shaking table-structure interaction effects during seismic simulation tests’,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Earthq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. Eng. and </w:t>
            </w:r>
            <w:proofErr w:type="gramStart"/>
            <w:r w:rsidRPr="00BA70E2">
              <w:rPr>
                <w:rFonts w:asciiTheme="minorHAnsi" w:hAnsiTheme="minorHAnsi" w:cstheme="minorHAnsi"/>
                <w:sz w:val="20"/>
              </w:rPr>
              <w:t>Struct</w:t>
            </w:r>
            <w:proofErr w:type="gramEnd"/>
            <w:r w:rsidRPr="00BA70E2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Dyn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., 16, 1988, p. 473-490.</w:t>
            </w:r>
          </w:p>
          <w:p w14:paraId="0BFC998A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Conte, J.P., and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Trombetti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T.L., Linear Dynamic Modeling of a Uni-axial Servo-Hydraulic Shaking Table System.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Earthq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. Eng. and </w:t>
            </w:r>
            <w:proofErr w:type="gramStart"/>
            <w:r w:rsidRPr="00BA70E2">
              <w:rPr>
                <w:rFonts w:asciiTheme="minorHAnsi" w:hAnsiTheme="minorHAnsi" w:cstheme="minorHAnsi"/>
                <w:sz w:val="20"/>
              </w:rPr>
              <w:t>Struct</w:t>
            </w:r>
            <w:proofErr w:type="gramEnd"/>
            <w:r w:rsidRPr="00BA70E2">
              <w:rPr>
                <w:rFonts w:asciiTheme="minorHAnsi" w:hAnsiTheme="minorHAnsi" w:cstheme="minorHAnsi"/>
                <w:sz w:val="20"/>
              </w:rPr>
              <w:t xml:space="preserve">.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Dyn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., 29(9), 1375-1404, 2000.</w:t>
            </w:r>
          </w:p>
          <w:p w14:paraId="749AF2C9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Luco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J.E.,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Ozcelik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, O., Conte, J.P. Acceleration tracking control of the NEES-UCSD shake table, Journal of Structural Eng., ASCE, 2009, doi:10.1061/(ASCE)ST.1943-54X.0000137.</w:t>
            </w:r>
          </w:p>
          <w:p w14:paraId="7760F6F0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Plummer, A.R. High-bandwidth motion control for multi-axis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servohydraulic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 mechanisms, Proc. Int.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Mechanicl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 Eng. Congress and Exposition, IMECE, Washington, 2007.</w:t>
            </w:r>
          </w:p>
          <w:p w14:paraId="5DEE4102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Kwon, O., Nakata, N.,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Elnashai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, A.S. &amp; Spencer, B.F. 2005. A framework for multi-site distributed simulation and application to complex structural systems. Journal of Earthquake Engineering, 9, 741-753.</w:t>
            </w:r>
          </w:p>
          <w:p w14:paraId="1840D241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Mosqueda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G.,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Stojadinovic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B. &amp;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Mahin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, S. A. 2005. Implementation and accuracy of continuous hybrid simulation with geographically distributed substructures. UCB/EERC 2005-02.  Earthquake Engineering Research Center. University of California, Berkeley.</w:t>
            </w:r>
          </w:p>
          <w:p w14:paraId="09CECA01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Nakashima, M. &amp;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Masaoka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N. 1999. Real-time on-line test for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mdof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 systems. Earthquake Engineering &amp; Structural Dynamics, 28, 393-420.</w:t>
            </w:r>
          </w:p>
          <w:p w14:paraId="5D28394A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 xml:space="preserve">Bousias, S., Kwon, O-S, </w:t>
            </w: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Evangeliou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>, N., Sextos, A. (2014) Implementation issues in distributed hybrid simulation, 6th World Conf. of Structural Control and Monitoring, Barcelona.</w:t>
            </w:r>
          </w:p>
          <w:p w14:paraId="6B2ABD2C" w14:textId="77777777" w:rsidR="001D0D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BA70E2">
              <w:rPr>
                <w:rFonts w:asciiTheme="minorHAnsi" w:hAnsiTheme="minorHAnsi" w:cstheme="minorHAnsi"/>
                <w:sz w:val="20"/>
              </w:rPr>
              <w:t>Figliola</w:t>
            </w:r>
            <w:proofErr w:type="spellEnd"/>
            <w:r w:rsidRPr="00BA70E2">
              <w:rPr>
                <w:rFonts w:asciiTheme="minorHAnsi" w:hAnsiTheme="minorHAnsi" w:cstheme="minorHAnsi"/>
                <w:sz w:val="20"/>
              </w:rPr>
              <w:t xml:space="preserve">, R. and Beasley, D., 2011 Theory and Design </w:t>
            </w:r>
            <w:proofErr w:type="gramStart"/>
            <w:r w:rsidRPr="00BA70E2">
              <w:rPr>
                <w:rFonts w:asciiTheme="minorHAnsi" w:hAnsiTheme="minorHAnsi" w:cstheme="minorHAnsi"/>
                <w:sz w:val="20"/>
              </w:rPr>
              <w:t>For</w:t>
            </w:r>
            <w:proofErr w:type="gramEnd"/>
            <w:r w:rsidRPr="00BA70E2">
              <w:rPr>
                <w:rFonts w:asciiTheme="minorHAnsi" w:hAnsiTheme="minorHAnsi" w:cstheme="minorHAnsi"/>
                <w:sz w:val="20"/>
              </w:rPr>
              <w:t xml:space="preserve"> Mechanical Measurements, International Student Version, 5th Edition</w:t>
            </w:r>
          </w:p>
          <w:p w14:paraId="4A34A9B8" w14:textId="77777777" w:rsid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>Austerlitz, H., 2002 Data Acquisition Techniques Using PCs,</w:t>
            </w:r>
          </w:p>
          <w:p w14:paraId="3012C682" w14:textId="7E4578B5" w:rsidR="00CC1EC5" w:rsidRPr="00BA70E2" w:rsidRDefault="001D0DC5" w:rsidP="001D0DC5">
            <w:pPr>
              <w:pStyle w:val="references"/>
              <w:numPr>
                <w:ilvl w:val="0"/>
                <w:numId w:val="15"/>
              </w:numPr>
              <w:ind w:left="426" w:hanging="284"/>
              <w:rPr>
                <w:rFonts w:asciiTheme="minorHAnsi" w:hAnsiTheme="minorHAnsi" w:cstheme="minorHAnsi"/>
                <w:sz w:val="20"/>
              </w:rPr>
            </w:pPr>
            <w:r w:rsidRPr="00BA70E2">
              <w:rPr>
                <w:rFonts w:asciiTheme="minorHAnsi" w:hAnsiTheme="minorHAnsi" w:cstheme="minorHAnsi"/>
                <w:sz w:val="20"/>
              </w:rPr>
              <w:t>Steven W. Smith, 1997, The Scientist and Engineer's Guide to Digital Signal Processing.</w:t>
            </w:r>
          </w:p>
        </w:tc>
      </w:tr>
    </w:tbl>
    <w:p w14:paraId="15A2C882" w14:textId="77777777" w:rsidR="00B22020" w:rsidRPr="00313C26" w:rsidRDefault="00B22020">
      <w:pPr>
        <w:rPr>
          <w:color w:val="000000" w:themeColor="text1"/>
        </w:rPr>
      </w:pPr>
    </w:p>
    <w:sectPr w:rsidR="00B22020" w:rsidRPr="00313C26" w:rsidSect="004B27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1"/>
    <w:family w:val="swiss"/>
    <w:pitch w:val="variable"/>
    <w:sig w:usb0="E0002AFF" w:usb1="C000ACF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C13ED"/>
    <w:multiLevelType w:val="hybridMultilevel"/>
    <w:tmpl w:val="47945C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87754"/>
    <w:multiLevelType w:val="hybridMultilevel"/>
    <w:tmpl w:val="7D6ABB0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44103"/>
    <w:multiLevelType w:val="hybridMultilevel"/>
    <w:tmpl w:val="8CC008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6598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121FA5"/>
    <w:multiLevelType w:val="hybridMultilevel"/>
    <w:tmpl w:val="7F427266"/>
    <w:lvl w:ilvl="0" w:tplc="2D44EDF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4F2F86"/>
    <w:multiLevelType w:val="hybridMultilevel"/>
    <w:tmpl w:val="E17271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EE661C5"/>
    <w:multiLevelType w:val="hybridMultilevel"/>
    <w:tmpl w:val="3F888F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051ED"/>
    <w:multiLevelType w:val="hybridMultilevel"/>
    <w:tmpl w:val="4CE68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7401D6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B257E95"/>
    <w:multiLevelType w:val="hybridMultilevel"/>
    <w:tmpl w:val="04AA6A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4BC6C6D"/>
    <w:multiLevelType w:val="hybridMultilevel"/>
    <w:tmpl w:val="C5142CC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4D4485"/>
    <w:multiLevelType w:val="hybridMultilevel"/>
    <w:tmpl w:val="DDB633E8"/>
    <w:lvl w:ilvl="0" w:tplc="CC3C97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FC1BA2"/>
    <w:multiLevelType w:val="hybridMultilevel"/>
    <w:tmpl w:val="316076F0"/>
    <w:lvl w:ilvl="0" w:tplc="0408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7B181F7E"/>
    <w:multiLevelType w:val="hybridMultilevel"/>
    <w:tmpl w:val="988CE2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8448F6"/>
    <w:multiLevelType w:val="hybridMultilevel"/>
    <w:tmpl w:val="B4829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DE762BE"/>
    <w:multiLevelType w:val="hybridMultilevel"/>
    <w:tmpl w:val="C92EA2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6"/>
  </w:num>
  <w:num w:numId="5">
    <w:abstractNumId w:val="10"/>
  </w:num>
  <w:num w:numId="6">
    <w:abstractNumId w:val="12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4"/>
  </w:num>
  <w:num w:numId="12">
    <w:abstractNumId w:val="9"/>
  </w:num>
  <w:num w:numId="13">
    <w:abstractNumId w:val="1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1EC5"/>
    <w:rsid w:val="000223E6"/>
    <w:rsid w:val="000678A9"/>
    <w:rsid w:val="00072F35"/>
    <w:rsid w:val="00074AEA"/>
    <w:rsid w:val="000A2E6E"/>
    <w:rsid w:val="000B0F77"/>
    <w:rsid w:val="001123DF"/>
    <w:rsid w:val="00143B74"/>
    <w:rsid w:val="0015522D"/>
    <w:rsid w:val="00191430"/>
    <w:rsid w:val="001A7AFC"/>
    <w:rsid w:val="001D0DC5"/>
    <w:rsid w:val="001D6AAD"/>
    <w:rsid w:val="001E45D8"/>
    <w:rsid w:val="001F2432"/>
    <w:rsid w:val="0022279C"/>
    <w:rsid w:val="00293D6C"/>
    <w:rsid w:val="00313C26"/>
    <w:rsid w:val="0032010F"/>
    <w:rsid w:val="00390358"/>
    <w:rsid w:val="003C425D"/>
    <w:rsid w:val="0041372E"/>
    <w:rsid w:val="004156AD"/>
    <w:rsid w:val="00446A11"/>
    <w:rsid w:val="00456683"/>
    <w:rsid w:val="00460F4A"/>
    <w:rsid w:val="004B2792"/>
    <w:rsid w:val="004D2394"/>
    <w:rsid w:val="004F0EFA"/>
    <w:rsid w:val="00605BD4"/>
    <w:rsid w:val="00632713"/>
    <w:rsid w:val="006568DC"/>
    <w:rsid w:val="0068356A"/>
    <w:rsid w:val="006A5903"/>
    <w:rsid w:val="00722A10"/>
    <w:rsid w:val="007F6A29"/>
    <w:rsid w:val="00827804"/>
    <w:rsid w:val="00827DB7"/>
    <w:rsid w:val="008865E5"/>
    <w:rsid w:val="008A4B42"/>
    <w:rsid w:val="009069AF"/>
    <w:rsid w:val="0095585E"/>
    <w:rsid w:val="009E1BC8"/>
    <w:rsid w:val="009E7F8D"/>
    <w:rsid w:val="00A259C1"/>
    <w:rsid w:val="00A74ABD"/>
    <w:rsid w:val="00A76153"/>
    <w:rsid w:val="00A92926"/>
    <w:rsid w:val="00B1741C"/>
    <w:rsid w:val="00B22020"/>
    <w:rsid w:val="00BA70E2"/>
    <w:rsid w:val="00C36535"/>
    <w:rsid w:val="00C832A4"/>
    <w:rsid w:val="00C91CB6"/>
    <w:rsid w:val="00CC0D35"/>
    <w:rsid w:val="00CC1638"/>
    <w:rsid w:val="00CC1EC5"/>
    <w:rsid w:val="00CF639E"/>
    <w:rsid w:val="00D47B59"/>
    <w:rsid w:val="00DE718E"/>
    <w:rsid w:val="00E236DB"/>
    <w:rsid w:val="00E818CC"/>
    <w:rsid w:val="00EE5002"/>
    <w:rsid w:val="00FC51BF"/>
    <w:rsid w:val="00FD1664"/>
    <w:rsid w:val="00FD2CCD"/>
    <w:rsid w:val="00FE1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F5341D"/>
  <w15:docId w15:val="{0CE3CC69-5D84-9344-ABCD-898CAC88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E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CC0D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uiPriority w:val="99"/>
    <w:rsid w:val="00CC1E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6535"/>
    <w:pPr>
      <w:ind w:left="720"/>
      <w:contextualSpacing/>
    </w:pPr>
  </w:style>
  <w:style w:type="character" w:customStyle="1" w:styleId="jlqj4b">
    <w:name w:val="jlqj4b"/>
    <w:basedOn w:val="DefaultParagraphFont"/>
    <w:rsid w:val="00FE10DC"/>
  </w:style>
  <w:style w:type="character" w:customStyle="1" w:styleId="Heading1Char">
    <w:name w:val="Heading 1 Char"/>
    <w:basedOn w:val="DefaultParagraphFont"/>
    <w:link w:val="Heading1"/>
    <w:uiPriority w:val="9"/>
    <w:rsid w:val="00CC0D35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styleId="Hyperlink">
    <w:name w:val="Hyperlink"/>
    <w:basedOn w:val="DefaultParagraphFont"/>
    <w:unhideWhenUsed/>
    <w:rsid w:val="00CC0D3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D0DC5"/>
    <w:pPr>
      <w:spacing w:before="100" w:beforeAutospacing="1" w:after="100" w:afterAutospacing="1"/>
    </w:pPr>
  </w:style>
  <w:style w:type="paragraph" w:customStyle="1" w:styleId="references">
    <w:name w:val="references"/>
    <w:basedOn w:val="Normal"/>
    <w:rsid w:val="001D0DC5"/>
    <w:pPr>
      <w:overflowPunct w:val="0"/>
      <w:autoSpaceDE w:val="0"/>
      <w:autoSpaceDN w:val="0"/>
      <w:adjustRightInd w:val="0"/>
      <w:spacing w:line="200" w:lineRule="atLeast"/>
      <w:ind w:left="238" w:hanging="238"/>
      <w:jc w:val="both"/>
      <w:textAlignment w:val="baseline"/>
    </w:pPr>
    <w:rPr>
      <w:rFonts w:ascii="Times" w:hAnsi="Times"/>
      <w:sz w:val="17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rs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8141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Μπούσιας Ευστάθιος</cp:lastModifiedBy>
  <cp:revision>6</cp:revision>
  <dcterms:created xsi:type="dcterms:W3CDTF">2021-10-07T06:32:00Z</dcterms:created>
  <dcterms:modified xsi:type="dcterms:W3CDTF">2021-10-10T17:49:00Z</dcterms:modified>
</cp:coreProperties>
</file>