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6D84B" w14:textId="77777777" w:rsidR="00AF1309" w:rsidRPr="00AF1309" w:rsidRDefault="00AF1309" w:rsidP="00AF1309">
      <w:pPr>
        <w:spacing w:before="120" w:after="0"/>
        <w:ind w:firstLine="357"/>
        <w:jc w:val="center"/>
        <w:rPr>
          <w:rFonts w:ascii="Calibri Light" w:eastAsia="Times New Roman" w:hAnsi="Calibri Light" w:cs="Arial"/>
          <w:sz w:val="24"/>
          <w:szCs w:val="24"/>
          <w:lang w:val="en-GB"/>
        </w:rPr>
      </w:pPr>
      <w:r w:rsidRPr="00AF1309">
        <w:rPr>
          <w:rFonts w:ascii="Calibri Light" w:eastAsia="Times New Roman" w:hAnsi="Calibri Light" w:cs="Arial"/>
          <w:b/>
          <w:sz w:val="24"/>
          <w:szCs w:val="24"/>
          <w:lang w:val="en-GB"/>
        </w:rPr>
        <w:t>COURSE OUTLINE</w:t>
      </w:r>
    </w:p>
    <w:p w14:paraId="225478C2" w14:textId="77777777" w:rsidR="00AF1309" w:rsidRPr="00AF1309" w:rsidRDefault="00AF1309" w:rsidP="00AF13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AF1309">
        <w:rPr>
          <w:rFonts w:ascii="Calibri Light" w:eastAsia="Times New Roman" w:hAnsi="Calibri Light" w:cs="Arial"/>
          <w:b/>
          <w:color w:val="000000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439"/>
        <w:gridCol w:w="993"/>
        <w:gridCol w:w="1208"/>
        <w:gridCol w:w="351"/>
        <w:gridCol w:w="1240"/>
      </w:tblGrid>
      <w:tr w:rsidR="00AF1309" w:rsidRPr="00AF1309" w14:paraId="31E9DA9B" w14:textId="77777777" w:rsidTr="007D5117">
        <w:trPr>
          <w:trHeight w:val="144"/>
        </w:trPr>
        <w:tc>
          <w:tcPr>
            <w:tcW w:w="3205" w:type="dxa"/>
            <w:shd w:val="clear" w:color="auto" w:fill="D0CECE"/>
          </w:tcPr>
          <w:p w14:paraId="1DA97735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SCHOOLS</w:t>
            </w:r>
          </w:p>
        </w:tc>
        <w:tc>
          <w:tcPr>
            <w:tcW w:w="5231" w:type="dxa"/>
            <w:gridSpan w:val="5"/>
          </w:tcPr>
          <w:p w14:paraId="094EDFBC" w14:textId="5286E41D" w:rsidR="00AF1309" w:rsidRPr="00C5504E" w:rsidRDefault="007D5117" w:rsidP="00C5504E">
            <w:pPr>
              <w:pStyle w:val="Heading2"/>
              <w:shd w:val="clear" w:color="auto" w:fill="F1F1F1"/>
              <w:spacing w:before="0" w:line="240" w:lineRule="auto"/>
              <w:textAlignment w:val="baseline"/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val="en-GB"/>
              </w:rPr>
            </w:pPr>
            <w:proofErr w:type="spellStart"/>
            <w:r w:rsidRPr="007D5117">
              <w:rPr>
                <w:rFonts w:asciiTheme="minorHAnsi" w:eastAsiaTheme="minorHAnsi" w:hAnsiTheme="minorHAnsi" w:cs="Arial"/>
                <w:color w:val="auto"/>
                <w:sz w:val="20"/>
                <w:szCs w:val="20"/>
              </w:rPr>
              <w:t>School</w:t>
            </w:r>
            <w:proofErr w:type="spellEnd"/>
            <w:r w:rsidRPr="007D5117">
              <w:rPr>
                <w:rFonts w:asciiTheme="minorHAnsi" w:eastAsia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D5117">
              <w:rPr>
                <w:rFonts w:asciiTheme="minorHAnsi" w:eastAsiaTheme="minorHAnsi" w:hAnsiTheme="minorHAnsi" w:cs="Arial"/>
                <w:color w:val="auto"/>
                <w:sz w:val="20"/>
                <w:szCs w:val="20"/>
              </w:rPr>
              <w:t>of</w:t>
            </w:r>
            <w:proofErr w:type="spellEnd"/>
            <w:r w:rsidRPr="007D5117">
              <w:rPr>
                <w:rFonts w:asciiTheme="minorHAnsi" w:eastAsia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="00C5504E">
              <w:rPr>
                <w:rFonts w:asciiTheme="minorHAnsi" w:eastAsiaTheme="minorHAnsi" w:hAnsiTheme="minorHAnsi" w:cs="Arial"/>
                <w:color w:val="auto"/>
                <w:sz w:val="20"/>
                <w:szCs w:val="20"/>
                <w:lang w:val="en-GB"/>
              </w:rPr>
              <w:t>Engineering</w:t>
            </w:r>
          </w:p>
        </w:tc>
      </w:tr>
      <w:tr w:rsidR="00AF1309" w:rsidRPr="009B4041" w14:paraId="529D335D" w14:textId="77777777" w:rsidTr="00AF1309">
        <w:tc>
          <w:tcPr>
            <w:tcW w:w="3205" w:type="dxa"/>
            <w:shd w:val="clear" w:color="auto" w:fill="D0CECE"/>
          </w:tcPr>
          <w:p w14:paraId="737445B2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US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ACADEMIC UNIT</w:t>
            </w: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/</w:t>
            </w: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US"/>
              </w:rPr>
              <w:t>UNITS</w:t>
            </w:r>
          </w:p>
        </w:tc>
        <w:tc>
          <w:tcPr>
            <w:tcW w:w="5231" w:type="dxa"/>
            <w:gridSpan w:val="5"/>
          </w:tcPr>
          <w:p w14:paraId="4EA2B240" w14:textId="41415912" w:rsidR="00AF1309" w:rsidRPr="00C5504E" w:rsidRDefault="00D32255" w:rsidP="00C5504E">
            <w:pPr>
              <w:pStyle w:val="Heading4"/>
              <w:rPr>
                <w:rFonts w:asciiTheme="minorHAnsi" w:eastAsiaTheme="minorHAnsi" w:hAnsiTheme="minorHAnsi" w:cs="Arial"/>
                <w:b w:val="0"/>
                <w:bCs w:val="0"/>
                <w:sz w:val="20"/>
                <w:szCs w:val="20"/>
                <w:lang w:val="en-GB" w:eastAsia="en-US"/>
              </w:rPr>
            </w:pPr>
            <w:hyperlink r:id="rId7" w:history="1">
              <w:proofErr w:type="spellStart"/>
              <w:r w:rsidR="007D5117" w:rsidRPr="007D5117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eastAsia="en-US"/>
                </w:rPr>
                <w:t>Department</w:t>
              </w:r>
              <w:proofErr w:type="spellEnd"/>
              <w:r w:rsidR="007D5117" w:rsidRPr="007D5117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7D5117" w:rsidRPr="007D5117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eastAsia="en-US"/>
                </w:rPr>
                <w:t>of</w:t>
              </w:r>
              <w:proofErr w:type="spellEnd"/>
              <w:r w:rsidR="007D5117" w:rsidRPr="007D5117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eastAsia="en-US"/>
                </w:rPr>
                <w:t xml:space="preserve"> </w:t>
              </w:r>
              <w:r w:rsidR="00C5504E">
                <w:rPr>
                  <w:rFonts w:asciiTheme="minorHAnsi" w:eastAsiaTheme="minorHAnsi" w:hAnsiTheme="minorHAnsi" w:cs="Arial"/>
                  <w:b w:val="0"/>
                  <w:bCs w:val="0"/>
                  <w:sz w:val="20"/>
                  <w:szCs w:val="20"/>
                  <w:lang w:val="en-GB" w:eastAsia="en-US"/>
                </w:rPr>
                <w:t>Civil</w:t>
              </w:r>
            </w:hyperlink>
            <w:r w:rsidR="00C5504E">
              <w:rPr>
                <w:rFonts w:asciiTheme="minorHAnsi" w:eastAsiaTheme="minorHAnsi" w:hAnsiTheme="minorHAnsi" w:cs="Arial"/>
                <w:b w:val="0"/>
                <w:bCs w:val="0"/>
                <w:sz w:val="20"/>
                <w:szCs w:val="20"/>
                <w:lang w:val="en-GB" w:eastAsia="en-US"/>
              </w:rPr>
              <w:t xml:space="preserve"> Engineering</w:t>
            </w:r>
          </w:p>
        </w:tc>
      </w:tr>
      <w:tr w:rsidR="00AF1309" w:rsidRPr="00D32255" w14:paraId="44F33CD2" w14:textId="77777777" w:rsidTr="00AF1309">
        <w:tc>
          <w:tcPr>
            <w:tcW w:w="3205" w:type="dxa"/>
            <w:shd w:val="clear" w:color="auto" w:fill="D0CECE"/>
          </w:tcPr>
          <w:p w14:paraId="73C8691F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i/>
                <w:sz w:val="20"/>
                <w:szCs w:val="20"/>
                <w:lang w:val="en-US"/>
              </w:rPr>
            </w:pPr>
            <w:r w:rsidRPr="00AF1309">
              <w:rPr>
                <w:rStyle w:val="Emphasis"/>
                <w:rFonts w:asciiTheme="minorHAnsi" w:hAnsiTheme="minorHAnsi"/>
                <w:b/>
                <w:i w:val="0"/>
                <w:sz w:val="20"/>
                <w:szCs w:val="20"/>
                <w:lang w:val="en-US"/>
              </w:rPr>
              <w:t>TITLE OF MASTER’S DEGREE</w:t>
            </w:r>
          </w:p>
        </w:tc>
        <w:tc>
          <w:tcPr>
            <w:tcW w:w="5231" w:type="dxa"/>
            <w:gridSpan w:val="5"/>
          </w:tcPr>
          <w:p w14:paraId="6A75D181" w14:textId="07194936" w:rsidR="00AF1309" w:rsidRPr="009462E6" w:rsidRDefault="00754A89" w:rsidP="00754A8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462E6">
              <w:rPr>
                <w:rFonts w:asciiTheme="minorHAnsi" w:hAnsiTheme="minorHAnsi"/>
                <w:sz w:val="20"/>
                <w:szCs w:val="20"/>
                <w:lang w:val="en-US"/>
              </w:rPr>
              <w:t>Resilient, Sustainable and Smart Civil Infrastructures</w:t>
            </w:r>
          </w:p>
        </w:tc>
      </w:tr>
      <w:tr w:rsidR="00AF1309" w:rsidRPr="00AF1309" w14:paraId="13AFDFBE" w14:textId="77777777" w:rsidTr="00AF1309">
        <w:tc>
          <w:tcPr>
            <w:tcW w:w="3205" w:type="dxa"/>
            <w:shd w:val="clear" w:color="auto" w:fill="D0CECE"/>
          </w:tcPr>
          <w:p w14:paraId="427120E7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14:paraId="090804E1" w14:textId="77777777" w:rsidR="00AF1309" w:rsidRPr="002D3524" w:rsidRDefault="00AF1309" w:rsidP="00AF1309">
            <w:pPr>
              <w:spacing w:after="0" w:line="240" w:lineRule="auto"/>
              <w:rPr>
                <w:rFonts w:asciiTheme="minorHAnsi" w:eastAsia="Times New Roman" w:hAnsiTheme="minorHAnsi" w:cs="Arial"/>
              </w:rPr>
            </w:pPr>
          </w:p>
        </w:tc>
      </w:tr>
      <w:tr w:rsidR="00AF1309" w:rsidRPr="00AF1309" w14:paraId="6847D344" w14:textId="77777777" w:rsidTr="00AF1309">
        <w:tc>
          <w:tcPr>
            <w:tcW w:w="3205" w:type="dxa"/>
            <w:shd w:val="clear" w:color="auto" w:fill="D0CECE"/>
          </w:tcPr>
          <w:p w14:paraId="5D2731BF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439" w:type="dxa"/>
          </w:tcPr>
          <w:p w14:paraId="43AC4F4B" w14:textId="647F994B" w:rsidR="00AF1309" w:rsidRPr="009462E6" w:rsidRDefault="00A42DC7" w:rsidP="00AF130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C1</w:t>
            </w:r>
            <w:r w:rsidR="00C5504E" w:rsidRPr="009462E6">
              <w:rPr>
                <w:rFonts w:asciiTheme="minorHAnsi" w:eastAsia="Times New Roman" w:hAnsiTheme="minorHAnsi" w:cs="Arial"/>
                <w:sz w:val="20"/>
                <w:szCs w:val="20"/>
                <w:lang w:val="en-US"/>
              </w:rPr>
              <w:t>6013</w:t>
            </w:r>
          </w:p>
        </w:tc>
        <w:tc>
          <w:tcPr>
            <w:tcW w:w="2201" w:type="dxa"/>
            <w:gridSpan w:val="2"/>
            <w:shd w:val="clear" w:color="auto" w:fill="D0CECE"/>
          </w:tcPr>
          <w:p w14:paraId="446AC118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14:paraId="4E7E8F2F" w14:textId="634FF13D" w:rsidR="00AF1309" w:rsidRPr="00423447" w:rsidRDefault="00C5504E" w:rsidP="00AF1309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val="en-GB"/>
              </w:rPr>
            </w:pPr>
            <w:r w:rsidRPr="00423447">
              <w:rPr>
                <w:rFonts w:asciiTheme="minorHAnsi" w:eastAsia="Times New Roman" w:hAnsiTheme="minorHAnsi" w:cs="Arial"/>
                <w:sz w:val="20"/>
                <w:szCs w:val="20"/>
                <w:lang w:val="en-GB"/>
              </w:rPr>
              <w:t>1</w:t>
            </w:r>
            <w:r w:rsidRPr="00423447">
              <w:rPr>
                <w:rFonts w:asciiTheme="minorHAnsi" w:eastAsia="Times New Roman" w:hAnsiTheme="minorHAnsi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423447">
              <w:rPr>
                <w:rFonts w:asciiTheme="minorHAnsi" w:eastAsia="Times New Roman" w:hAnsiTheme="minorHAnsi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F1309" w:rsidRPr="00C5504E" w14:paraId="21A5D69A" w14:textId="77777777" w:rsidTr="00AF1309">
        <w:trPr>
          <w:trHeight w:val="375"/>
        </w:trPr>
        <w:tc>
          <w:tcPr>
            <w:tcW w:w="3205" w:type="dxa"/>
            <w:shd w:val="clear" w:color="auto" w:fill="D0CECE"/>
            <w:vAlign w:val="center"/>
          </w:tcPr>
          <w:p w14:paraId="2680C5B3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Theme="minorHAnsi" w:eastAsia="Times New Roman" w:hAnsiTheme="minorHAnsi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14:paraId="352D3061" w14:textId="37553297" w:rsidR="00AF1309" w:rsidRPr="007D5117" w:rsidRDefault="00A42DC7" w:rsidP="00AF1309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Sustainability of Transportation Systems</w:t>
            </w:r>
          </w:p>
        </w:tc>
      </w:tr>
      <w:tr w:rsidR="00AF1309" w:rsidRPr="00AF1309" w14:paraId="54AA385E" w14:textId="77777777" w:rsidTr="00AF1309">
        <w:trPr>
          <w:trHeight w:val="196"/>
        </w:trPr>
        <w:tc>
          <w:tcPr>
            <w:tcW w:w="5637" w:type="dxa"/>
            <w:gridSpan w:val="3"/>
            <w:shd w:val="clear" w:color="auto" w:fill="D0CECE"/>
            <w:vAlign w:val="center"/>
          </w:tcPr>
          <w:p w14:paraId="722691DB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br/>
            </w:r>
            <w:r w:rsidRPr="00AF1309"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AF1309"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AF1309"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0CECE"/>
            <w:vAlign w:val="center"/>
          </w:tcPr>
          <w:p w14:paraId="4CB67C70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0CECE"/>
            <w:vAlign w:val="center"/>
          </w:tcPr>
          <w:p w14:paraId="0FD0B486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AF1309" w:rsidRPr="00AF1309" w14:paraId="486F9480" w14:textId="77777777" w:rsidTr="00877D9F">
        <w:trPr>
          <w:trHeight w:val="194"/>
        </w:trPr>
        <w:tc>
          <w:tcPr>
            <w:tcW w:w="5637" w:type="dxa"/>
            <w:gridSpan w:val="3"/>
          </w:tcPr>
          <w:p w14:paraId="21415720" w14:textId="22FC59E7" w:rsidR="00AF1309" w:rsidRPr="00911161" w:rsidRDefault="007D5117" w:rsidP="00911161">
            <w:pPr>
              <w:spacing w:after="0" w:line="240" w:lineRule="auto"/>
              <w:jc w:val="right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911161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lectures</w:t>
            </w:r>
          </w:p>
        </w:tc>
        <w:tc>
          <w:tcPr>
            <w:tcW w:w="1559" w:type="dxa"/>
            <w:gridSpan w:val="2"/>
          </w:tcPr>
          <w:p w14:paraId="62B82C75" w14:textId="4611A98B" w:rsidR="00AF1309" w:rsidRPr="00911161" w:rsidRDefault="007D5117" w:rsidP="00911161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911161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240" w:type="dxa"/>
          </w:tcPr>
          <w:p w14:paraId="4E8E696F" w14:textId="28B98886" w:rsidR="00AF1309" w:rsidRPr="00911161" w:rsidRDefault="007D5117" w:rsidP="00911161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911161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7.5</w:t>
            </w:r>
          </w:p>
        </w:tc>
      </w:tr>
      <w:tr w:rsidR="00AF1309" w:rsidRPr="00AF1309" w14:paraId="77609AA0" w14:textId="77777777" w:rsidTr="00877D9F">
        <w:trPr>
          <w:trHeight w:val="194"/>
        </w:trPr>
        <w:tc>
          <w:tcPr>
            <w:tcW w:w="5637" w:type="dxa"/>
            <w:gridSpan w:val="3"/>
          </w:tcPr>
          <w:p w14:paraId="7BA0CFC8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3503154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14:paraId="16813F28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AF1309" w:rsidRPr="00AF1309" w14:paraId="22C745E6" w14:textId="77777777" w:rsidTr="00AF1309">
        <w:trPr>
          <w:trHeight w:val="194"/>
        </w:trPr>
        <w:tc>
          <w:tcPr>
            <w:tcW w:w="5637" w:type="dxa"/>
            <w:gridSpan w:val="3"/>
            <w:shd w:val="clear" w:color="auto" w:fill="D0CECE"/>
          </w:tcPr>
          <w:p w14:paraId="5018D5B3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14:paraId="63CB0B51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40" w:type="dxa"/>
          </w:tcPr>
          <w:p w14:paraId="7F7E13B7" w14:textId="77777777" w:rsidR="00AF1309" w:rsidRPr="00AF1309" w:rsidRDefault="00AF1309" w:rsidP="00AF1309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AF1309" w:rsidRPr="00D32255" w14:paraId="2CCC8DE1" w14:textId="77777777" w:rsidTr="00AF1309">
        <w:trPr>
          <w:trHeight w:val="599"/>
        </w:trPr>
        <w:tc>
          <w:tcPr>
            <w:tcW w:w="3205" w:type="dxa"/>
            <w:shd w:val="clear" w:color="auto" w:fill="D0CECE"/>
          </w:tcPr>
          <w:p w14:paraId="51D14A1E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COURSE TYPE</w:t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 </w:t>
            </w:r>
          </w:p>
          <w:p w14:paraId="65153843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14:paraId="7A1C5A99" w14:textId="1CBA68E7" w:rsidR="00AF1309" w:rsidRPr="00754A89" w:rsidRDefault="00754A89" w:rsidP="00AF130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S</w:t>
            </w:r>
            <w:r w:rsidR="007D5117" w:rsidRPr="00754A89"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pecialised general knowledge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, skill development</w:t>
            </w:r>
          </w:p>
        </w:tc>
      </w:tr>
      <w:tr w:rsidR="00AF1309" w:rsidRPr="00AF1309" w14:paraId="0D238F9C" w14:textId="77777777" w:rsidTr="00AF1309">
        <w:tc>
          <w:tcPr>
            <w:tcW w:w="3205" w:type="dxa"/>
            <w:shd w:val="clear" w:color="auto" w:fill="D0CECE"/>
          </w:tcPr>
          <w:p w14:paraId="3E6BB29A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PREREQUISITE COURSES:</w:t>
            </w:r>
          </w:p>
          <w:p w14:paraId="44AF8AD2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14:paraId="1D6D8211" w14:textId="3AF1CB58" w:rsidR="00AF1309" w:rsidRPr="007D5117" w:rsidRDefault="007D5117" w:rsidP="00AF130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7D5117">
              <w:rPr>
                <w:rFonts w:asciiTheme="minorHAnsi" w:eastAsiaTheme="minorHAnsi" w:hAnsiTheme="minorHAnsi" w:cs="Arial"/>
                <w:sz w:val="20"/>
                <w:szCs w:val="20"/>
              </w:rPr>
              <w:t>No</w:t>
            </w:r>
          </w:p>
        </w:tc>
      </w:tr>
      <w:tr w:rsidR="00AF1309" w:rsidRPr="007D5117" w14:paraId="2DE5DF46" w14:textId="77777777" w:rsidTr="00AF1309">
        <w:tc>
          <w:tcPr>
            <w:tcW w:w="3205" w:type="dxa"/>
            <w:shd w:val="clear" w:color="auto" w:fill="D0CECE"/>
          </w:tcPr>
          <w:p w14:paraId="28490773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14:paraId="14AF8DF6" w14:textId="6207A750" w:rsidR="00AF1309" w:rsidRPr="00754A89" w:rsidRDefault="007D5117" w:rsidP="00AF130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proofErr w:type="spellStart"/>
            <w:r w:rsidRPr="007D5117">
              <w:rPr>
                <w:rFonts w:asciiTheme="minorHAnsi" w:eastAsiaTheme="minorHAnsi" w:hAnsiTheme="minorHAnsi" w:cs="Arial"/>
                <w:sz w:val="20"/>
                <w:szCs w:val="20"/>
              </w:rPr>
              <w:t>Greek</w:t>
            </w:r>
            <w:proofErr w:type="spellEnd"/>
            <w:r w:rsidR="00754A89">
              <w:rPr>
                <w:rFonts w:asciiTheme="minorHAnsi" w:eastAsiaTheme="minorHAnsi" w:hAnsiTheme="minorHAnsi" w:cs="Arial"/>
                <w:sz w:val="20"/>
                <w:szCs w:val="20"/>
              </w:rPr>
              <w:t>/</w:t>
            </w:r>
            <w:r w:rsidR="00754A89"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  <w:t>English</w:t>
            </w:r>
          </w:p>
        </w:tc>
      </w:tr>
      <w:tr w:rsidR="00AF1309" w:rsidRPr="007D5117" w14:paraId="6DA486CF" w14:textId="77777777" w:rsidTr="00AF1309">
        <w:tc>
          <w:tcPr>
            <w:tcW w:w="3205" w:type="dxa"/>
            <w:shd w:val="clear" w:color="auto" w:fill="D0CECE"/>
          </w:tcPr>
          <w:p w14:paraId="66B35027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</w:tcPr>
          <w:p w14:paraId="0816CC33" w14:textId="38171277" w:rsidR="00AF1309" w:rsidRPr="007D5117" w:rsidRDefault="007D5117" w:rsidP="00AF130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7D5117">
              <w:rPr>
                <w:rFonts w:asciiTheme="minorHAnsi" w:eastAsiaTheme="minorHAnsi" w:hAnsiTheme="minorHAnsi" w:cs="Arial"/>
                <w:sz w:val="20"/>
                <w:szCs w:val="20"/>
              </w:rPr>
              <w:t>Yes</w:t>
            </w:r>
          </w:p>
        </w:tc>
      </w:tr>
      <w:tr w:rsidR="007D5117" w:rsidRPr="00D32255" w14:paraId="59ACCA62" w14:textId="77777777" w:rsidTr="00AF1309">
        <w:tc>
          <w:tcPr>
            <w:tcW w:w="3205" w:type="dxa"/>
            <w:shd w:val="clear" w:color="auto" w:fill="D0CECE"/>
          </w:tcPr>
          <w:p w14:paraId="5BD49B93" w14:textId="77777777" w:rsidR="007D5117" w:rsidRPr="00AF1309" w:rsidRDefault="007D5117" w:rsidP="007D5117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14:paraId="0661314B" w14:textId="606DF86A" w:rsidR="007D5117" w:rsidRPr="00754A89" w:rsidRDefault="00C5504E" w:rsidP="00A42DC7">
            <w:pPr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754A89">
              <w:rPr>
                <w:rStyle w:val="Hyperlink"/>
                <w:rFonts w:asciiTheme="minorHAnsi" w:hAnsiTheme="minorHAnsi" w:cs="Arial"/>
                <w:sz w:val="20"/>
                <w:szCs w:val="20"/>
                <w:lang w:val="en-GB"/>
              </w:rPr>
              <w:t>https://eclass.upatras.gr/courses/CIV175</w:t>
            </w:r>
            <w:r w:rsidR="00A42DC7">
              <w:rPr>
                <w:rStyle w:val="Hyperlink"/>
                <w:rFonts w:asciiTheme="minorHAnsi" w:hAnsiTheme="minorHAnsi" w:cs="Arial"/>
                <w:sz w:val="20"/>
                <w:szCs w:val="20"/>
                <w:lang w:val="en-GB"/>
              </w:rPr>
              <w:t>8</w:t>
            </w:r>
            <w:r w:rsidRPr="00754A89">
              <w:rPr>
                <w:rStyle w:val="Hyperlink"/>
                <w:rFonts w:asciiTheme="minorHAnsi" w:hAnsiTheme="minorHAnsi" w:cs="Arial"/>
                <w:sz w:val="20"/>
                <w:szCs w:val="20"/>
                <w:lang w:val="en-GB"/>
              </w:rPr>
              <w:t>/</w:t>
            </w:r>
          </w:p>
        </w:tc>
      </w:tr>
    </w:tbl>
    <w:p w14:paraId="54DCFE06" w14:textId="77777777" w:rsidR="00AF1309" w:rsidRPr="00AF1309" w:rsidRDefault="00AF1309" w:rsidP="00F677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AF1309">
        <w:rPr>
          <w:rFonts w:ascii="Calibri Light" w:eastAsia="Times New Roman" w:hAnsi="Calibri Light" w:cs="Arial"/>
          <w:b/>
          <w:color w:val="000000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AF1309" w:rsidRPr="00AF1309" w14:paraId="43A16A7B" w14:textId="77777777" w:rsidTr="00AF1309">
        <w:tc>
          <w:tcPr>
            <w:tcW w:w="8472" w:type="dxa"/>
            <w:tcBorders>
              <w:bottom w:val="nil"/>
            </w:tcBorders>
            <w:shd w:val="clear" w:color="auto" w:fill="D0CECE"/>
          </w:tcPr>
          <w:p w14:paraId="3D09FFA6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AF1309" w:rsidRPr="00D32255" w14:paraId="3376A022" w14:textId="77777777" w:rsidTr="00AF1309">
        <w:tc>
          <w:tcPr>
            <w:tcW w:w="8472" w:type="dxa"/>
            <w:tcBorders>
              <w:top w:val="nil"/>
            </w:tcBorders>
            <w:shd w:val="clear" w:color="auto" w:fill="D0CECE"/>
          </w:tcPr>
          <w:p w14:paraId="227ECF18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The course learning outcomes, specific knowledge, skills and competences of an appropriate level, which the students will acquire with the successful completion of the course are described.</w:t>
            </w:r>
          </w:p>
          <w:p w14:paraId="75DBA076" w14:textId="77777777" w:rsidR="00AF1309" w:rsidRPr="00AF1309" w:rsidRDefault="00AF1309" w:rsidP="00AF1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14:paraId="05A7B96B" w14:textId="77777777" w:rsidR="00AF1309" w:rsidRPr="00AF1309" w:rsidRDefault="00AF1309" w:rsidP="00AF13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3" w:hanging="219"/>
              <w:contextualSpacing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14:paraId="0E80FCBD" w14:textId="77777777" w:rsidR="00AF1309" w:rsidRPr="00AF1309" w:rsidRDefault="00AF1309" w:rsidP="00AF13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3" w:hanging="219"/>
              <w:contextualSpacing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14:paraId="056CA15A" w14:textId="77777777" w:rsidR="00AF1309" w:rsidRPr="00AF1309" w:rsidRDefault="00AF1309" w:rsidP="00AF13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3" w:hanging="219"/>
              <w:contextualSpacing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AF1309" w:rsidRPr="00D32255" w14:paraId="1C2E7A2E" w14:textId="77777777" w:rsidTr="00877D9F">
        <w:tc>
          <w:tcPr>
            <w:tcW w:w="8472" w:type="dxa"/>
          </w:tcPr>
          <w:p w14:paraId="29614535" w14:textId="76FD4609" w:rsidR="00754A89" w:rsidRPr="00754A89" w:rsidRDefault="00754A89" w:rsidP="00D32255">
            <w:pPr>
              <w:spacing w:after="0"/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</w:pPr>
            <w:r w:rsidRPr="00754A89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>By the end of this course</w:t>
            </w:r>
            <w:r w:rsidRPr="00754A89">
              <w:rPr>
                <w:rFonts w:asciiTheme="minorHAnsi" w:hAnsiTheme="minorHAnsi"/>
                <w:color w:val="002060"/>
                <w:sz w:val="20"/>
                <w:szCs w:val="20"/>
                <w:lang w:val="en-GB" w:eastAsia="ja-JP"/>
              </w:rPr>
              <w:t>,</w:t>
            </w:r>
            <w:r w:rsidRPr="00754A89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 the graduate student will be able to:</w:t>
            </w:r>
          </w:p>
          <w:p w14:paraId="17B30C0E" w14:textId="69B46F0D" w:rsidR="00A42DC7" w:rsidRPr="00A42DC7" w:rsidRDefault="00A42DC7" w:rsidP="00D32255">
            <w:pPr>
              <w:pStyle w:val="ListParagraph"/>
              <w:numPr>
                <w:ilvl w:val="1"/>
                <w:numId w:val="27"/>
              </w:numPr>
              <w:spacing w:after="0"/>
              <w:ind w:left="426" w:hanging="284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Define and evaluate the characteristics of sustainability of transport projects in their life cycle.</w:t>
            </w:r>
          </w:p>
          <w:p w14:paraId="4AE23513" w14:textId="078D5310" w:rsidR="00A42DC7" w:rsidRPr="00A42DC7" w:rsidRDefault="00A42DC7" w:rsidP="00D32255">
            <w:pPr>
              <w:pStyle w:val="ListParagraph"/>
              <w:numPr>
                <w:ilvl w:val="1"/>
                <w:numId w:val="27"/>
              </w:numPr>
              <w:spacing w:after="0"/>
              <w:ind w:left="426" w:hanging="284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Quantif</w:t>
            </w:r>
            <w:r w:rsidR="006F2880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y</w:t>
            </w:r>
            <w:r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 xml:space="preserve"> sustainability parameters and propose solutions to improve project performance.</w:t>
            </w:r>
          </w:p>
          <w:p w14:paraId="631AF863" w14:textId="438FEB09" w:rsidR="00A42DC7" w:rsidRPr="00A42DC7" w:rsidRDefault="00A42DC7" w:rsidP="00D32255">
            <w:pPr>
              <w:pStyle w:val="ListParagraph"/>
              <w:numPr>
                <w:ilvl w:val="1"/>
                <w:numId w:val="27"/>
              </w:numPr>
              <w:spacing w:after="0"/>
              <w:ind w:left="426" w:hanging="284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Utilize technologies for evaluating the functional characteristics of road projects over time and propose appropriate interventions for maintenance and restoration of project elements at the network level.</w:t>
            </w:r>
          </w:p>
          <w:p w14:paraId="1CB7C9AE" w14:textId="1E56AF2A" w:rsidR="00A42DC7" w:rsidRPr="00A42DC7" w:rsidRDefault="00A42DC7" w:rsidP="00D32255">
            <w:pPr>
              <w:pStyle w:val="ListParagraph"/>
              <w:numPr>
                <w:ilvl w:val="1"/>
                <w:numId w:val="27"/>
              </w:numPr>
              <w:spacing w:after="0"/>
              <w:ind w:left="426" w:hanging="284"/>
              <w:jc w:val="both"/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</w:pPr>
            <w:r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Analyze and evaluate solutions that improve the level of sustainability of existing transport systems by utilizing alternative types of mobility (</w:t>
            </w:r>
            <w:r w:rsidR="006F2880"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e.g.</w:t>
            </w:r>
            <w:r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, micro</w:t>
            </w:r>
            <w:r w:rsidR="006F2880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-</w:t>
            </w:r>
            <w:r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mobility).</w:t>
            </w:r>
          </w:p>
          <w:p w14:paraId="77DC3AAE" w14:textId="77777777" w:rsidR="00AF1309" w:rsidRPr="00D32255" w:rsidRDefault="006F2880" w:rsidP="00D32255">
            <w:pPr>
              <w:pStyle w:val="ListParagraph"/>
              <w:numPr>
                <w:ilvl w:val="1"/>
                <w:numId w:val="27"/>
              </w:numPr>
              <w:spacing w:after="0"/>
              <w:ind w:left="426" w:hanging="284"/>
              <w:jc w:val="both"/>
              <w:rPr>
                <w:rFonts w:ascii="TimesLTStd-Roman" w:hAnsi="TimesLTStd-Roman" w:cs="TimesLTStd-Roman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Env</w:t>
            </w:r>
            <w:r w:rsidR="00A42DC7" w:rsidRPr="00A42DC7">
              <w:rPr>
                <w:rFonts w:asciiTheme="minorHAnsi" w:hAnsiTheme="minorHAnsi" w:cs="Arial"/>
                <w:color w:val="002060"/>
                <w:sz w:val="20"/>
                <w:szCs w:val="20"/>
                <w:lang w:val="en-US"/>
              </w:rPr>
              <w:t>ision solutions to address the challenges of sustainability in transport systems and projects.</w:t>
            </w:r>
          </w:p>
          <w:p w14:paraId="77D40771" w14:textId="55A0820F" w:rsidR="00D32255" w:rsidRPr="00D32255" w:rsidRDefault="00D32255" w:rsidP="00D32255">
            <w:pPr>
              <w:spacing w:after="0"/>
              <w:ind w:left="142"/>
              <w:jc w:val="both"/>
              <w:rPr>
                <w:rFonts w:ascii="TimesLTStd-Roman" w:hAnsi="TimesLTStd-Roman" w:cs="TimesLTStd-Roman"/>
                <w:sz w:val="18"/>
                <w:szCs w:val="18"/>
                <w:lang w:val="en-US"/>
              </w:rPr>
            </w:pPr>
          </w:p>
        </w:tc>
      </w:tr>
    </w:tbl>
    <w:p w14:paraId="61AD18D1" w14:textId="77777777" w:rsidR="00637BC7" w:rsidRPr="00911161" w:rsidRDefault="00637BC7">
      <w:pPr>
        <w:rPr>
          <w:lang w:val="en-US"/>
        </w:rPr>
      </w:pPr>
      <w:r w:rsidRPr="00911161">
        <w:rPr>
          <w:lang w:val="en-US"/>
        </w:rPr>
        <w:br w:type="page"/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4508"/>
      </w:tblGrid>
      <w:tr w:rsidR="00AF1309" w:rsidRPr="00AF1309" w14:paraId="53D2DCC2" w14:textId="77777777" w:rsidTr="00AF1309">
        <w:tc>
          <w:tcPr>
            <w:tcW w:w="8472" w:type="dxa"/>
            <w:gridSpan w:val="2"/>
            <w:tcBorders>
              <w:bottom w:val="nil"/>
            </w:tcBorders>
            <w:shd w:val="clear" w:color="auto" w:fill="D0CECE"/>
          </w:tcPr>
          <w:p w14:paraId="3E120191" w14:textId="489D9D6C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lastRenderedPageBreak/>
              <w:t xml:space="preserve">General Competences </w:t>
            </w:r>
          </w:p>
        </w:tc>
      </w:tr>
      <w:tr w:rsidR="00AF1309" w:rsidRPr="00D32255" w14:paraId="560E0DCD" w14:textId="77777777" w:rsidTr="00AF1309">
        <w:tblPrEx>
          <w:tblLook w:val="00A0" w:firstRow="1" w:lastRow="0" w:firstColumn="1" w:lastColumn="0" w:noHBand="0" w:noVBand="0"/>
        </w:tblPrEx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0CECE"/>
          </w:tcPr>
          <w:p w14:paraId="5B6BEA72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AF1309" w:rsidRPr="00AF1309" w14:paraId="4F4D5BB9" w14:textId="77777777" w:rsidTr="00AF1309">
        <w:tc>
          <w:tcPr>
            <w:tcW w:w="3964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/>
          </w:tcPr>
          <w:p w14:paraId="74344B02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14:paraId="152E8E41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14:paraId="36141746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14:paraId="3BCDB318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14:paraId="5D5C7150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Team work</w:t>
            </w:r>
          </w:p>
          <w:p w14:paraId="3E7402D9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14:paraId="039E112F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14:paraId="6205DD16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  <w:shd w:val="clear" w:color="auto" w:fill="D0CECE"/>
          </w:tcPr>
          <w:p w14:paraId="15FF8ADB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Project planning and management </w:t>
            </w:r>
          </w:p>
          <w:p w14:paraId="077EC2B0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14:paraId="24FF8639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14:paraId="79CCF997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14:paraId="47902199" w14:textId="77777777" w:rsidR="00AF1309" w:rsidRPr="00AF1309" w:rsidRDefault="00AF1309" w:rsidP="00AF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14:paraId="7F65BB47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14:paraId="7CCE84AE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……</w:t>
            </w:r>
          </w:p>
          <w:p w14:paraId="19C50B03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Others…</w:t>
            </w:r>
          </w:p>
          <w:p w14:paraId="3744390C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AF1309" w:rsidRPr="00D32255" w14:paraId="43DFB427" w14:textId="77777777" w:rsidTr="00877D9F">
        <w:tblPrEx>
          <w:tblLook w:val="00A0" w:firstRow="1" w:lastRow="0" w:firstColumn="1" w:lastColumn="0" w:noHBand="0" w:noVBand="0"/>
        </w:tblPrEx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14:paraId="26E324B9" w14:textId="77777777" w:rsidR="00A62911" w:rsidRPr="006C231A" w:rsidRDefault="00A62911" w:rsidP="00D32255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GB"/>
              </w:rPr>
            </w:pPr>
            <w:r w:rsidRPr="006C231A">
              <w:rPr>
                <w:rFonts w:asciiTheme="minorHAnsi" w:hAnsiTheme="minorHAnsi" w:cs="Arial"/>
                <w:color w:val="002060"/>
                <w:sz w:val="20"/>
                <w:szCs w:val="20"/>
                <w:lang w:val="en-GB" w:eastAsia="ja-JP"/>
              </w:rPr>
              <w:t>B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>y the end of this course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 w:eastAsia="ja-JP"/>
              </w:rPr>
              <w:t>,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 the student will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 w:eastAsia="ja-JP"/>
              </w:rPr>
              <w:t xml:space="preserve"> 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>have develop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 w:eastAsia="ja-JP"/>
              </w:rPr>
              <w:t>ed</w:t>
            </w:r>
            <w:r w:rsidRPr="006C231A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 the following general abilities (from the list above):</w:t>
            </w:r>
          </w:p>
          <w:p w14:paraId="271EFF79" w14:textId="13AEA60C" w:rsidR="007D5117" w:rsidRPr="00911161" w:rsidRDefault="007D5117" w:rsidP="00D3225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911161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Search for, analysis and synthesis of data and information, with the use of the necessary technology </w:t>
            </w:r>
          </w:p>
          <w:p w14:paraId="66E75566" w14:textId="77777777" w:rsidR="007D5117" w:rsidRPr="00C50E89" w:rsidRDefault="007D5117" w:rsidP="00D3225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proofErr w:type="spellStart"/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Decision</w:t>
            </w:r>
            <w:proofErr w:type="spellEnd"/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-</w:t>
            </w:r>
            <w:proofErr w:type="spellStart"/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making</w:t>
            </w:r>
            <w:proofErr w:type="spellEnd"/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 </w:t>
            </w:r>
          </w:p>
          <w:p w14:paraId="2374273E" w14:textId="77777777" w:rsidR="007D5117" w:rsidRPr="00C50E89" w:rsidRDefault="007D5117" w:rsidP="00D3225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Working independently </w:t>
            </w:r>
          </w:p>
          <w:p w14:paraId="68B85445" w14:textId="77777777" w:rsidR="007D5117" w:rsidRPr="00C50E89" w:rsidRDefault="007D5117" w:rsidP="00D3225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Team work</w:t>
            </w:r>
          </w:p>
          <w:p w14:paraId="0E0FAD5F" w14:textId="77777777" w:rsidR="00C50E89" w:rsidRDefault="00C50E89" w:rsidP="00D3225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 xml:space="preserve">Working in an interdisciplinary environment </w:t>
            </w:r>
          </w:p>
          <w:p w14:paraId="134FC02C" w14:textId="77777777" w:rsidR="0047336B" w:rsidRDefault="00C50E89" w:rsidP="00D3225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Production of </w:t>
            </w:r>
            <w:r w:rsidR="0047336B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new research ideas</w:t>
            </w:r>
          </w:p>
          <w:p w14:paraId="17758CFE" w14:textId="77777777" w:rsidR="0047336B" w:rsidRDefault="0047336B" w:rsidP="00D3225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Project planning and management</w:t>
            </w:r>
          </w:p>
          <w:p w14:paraId="325D91DE" w14:textId="77777777" w:rsidR="00AF1309" w:rsidRDefault="0047336B" w:rsidP="00D3225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567" w:hanging="283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Production of f</w:t>
            </w:r>
            <w:r w:rsidR="00C50E89" w:rsidRPr="00C50E89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ree, creative and inductive thinking</w:t>
            </w:r>
          </w:p>
          <w:p w14:paraId="65C4A44B" w14:textId="553B7970" w:rsidR="00D32255" w:rsidRPr="00D32255" w:rsidRDefault="00D32255" w:rsidP="00D32255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780F0D03" w14:textId="77777777" w:rsidR="00AF1309" w:rsidRPr="00AF1309" w:rsidRDefault="00AF1309" w:rsidP="00F677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AF1309">
        <w:rPr>
          <w:rFonts w:ascii="Calibri Light" w:eastAsia="Times New Roman" w:hAnsi="Calibri Light" w:cs="Arial"/>
          <w:b/>
          <w:color w:val="000000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AF1309" w:rsidRPr="00D32255" w14:paraId="0168ABB8" w14:textId="77777777" w:rsidTr="00877D9F">
        <w:tc>
          <w:tcPr>
            <w:tcW w:w="8472" w:type="dxa"/>
          </w:tcPr>
          <w:p w14:paraId="7201AF1D" w14:textId="4A6E66A6" w:rsidR="006F2880" w:rsidRPr="006F2880" w:rsidRDefault="006F2880" w:rsidP="00D32255">
            <w:pPr>
              <w:pStyle w:val="ListParagraph"/>
              <w:numPr>
                <w:ilvl w:val="0"/>
                <w:numId w:val="28"/>
              </w:numPr>
              <w:spacing w:before="120" w:after="0"/>
              <w:ind w:left="568" w:hanging="284"/>
              <w:contextualSpacing w:val="0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Introduction to the concepts of sustainability and life cycle analysis of projects.</w:t>
            </w:r>
          </w:p>
          <w:p w14:paraId="45A7E31F" w14:textId="552FFBE6" w:rsidR="006F2880" w:rsidRPr="006F2880" w:rsidRDefault="006F2880" w:rsidP="00D32255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Evaluation of project performance in their life cycle (life cycle performance assessment), techniques of analysis and performance forecasting over time.</w:t>
            </w:r>
          </w:p>
          <w:p w14:paraId="54C0F234" w14:textId="7F9C3EBB" w:rsidR="006F2880" w:rsidRPr="006F2880" w:rsidRDefault="006F2880" w:rsidP="00D32255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Study of socio-economic and environmental impacts of transport systems (accessibility, consumption and depletion of natural resources, energy and renewable sources, emissions and greenhouse effects)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.</w:t>
            </w:r>
          </w:p>
          <w:p w14:paraId="09189BD9" w14:textId="3F95D492" w:rsidR="006F2880" w:rsidRPr="006F2880" w:rsidRDefault="006F2880" w:rsidP="00D32255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Sustainability of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road</w:t>
            </w: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 systems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.</w:t>
            </w:r>
          </w:p>
          <w:p w14:paraId="101F76FA" w14:textId="7A8F984B" w:rsidR="006F2880" w:rsidRPr="006F2880" w:rsidRDefault="006F2880" w:rsidP="00D32255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Technologies for reviewing and evaluating the status of road project elements (pavement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s</w:t>
            </w: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, bridges, tunnels, </w:t>
            </w:r>
            <w:proofErr w:type="spellStart"/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etc</w:t>
            </w:r>
            <w:proofErr w:type="spellEnd"/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), impact assessment on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project</w:t>
            </w: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 sustainability and performance.</w:t>
            </w:r>
          </w:p>
          <w:p w14:paraId="22240F91" w14:textId="55D8F4E3" w:rsidR="006F2880" w:rsidRPr="006F2880" w:rsidRDefault="006F2880" w:rsidP="00D32255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Use of recycled materials, durable materials and new materials (</w:t>
            </w:r>
            <w:proofErr w:type="spellStart"/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nano</w:t>
            </w:r>
            <w:proofErr w:type="spellEnd"/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-materials).</w:t>
            </w:r>
          </w:p>
          <w:p w14:paraId="5C75F0BC" w14:textId="7D15C1AC" w:rsidR="006F2880" w:rsidRPr="006F2880" w:rsidRDefault="007C2586" w:rsidP="00D32255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Performance o</w:t>
            </w:r>
            <w:r w:rsidR="006F2880"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ptimization of road projects in their life cycle (long term performance optimization), decision support systems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for</w:t>
            </w:r>
            <w:r w:rsidR="006F2880"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 optimal maintenance and restoration of the road network (pavement management systems, bridge management systems).</w:t>
            </w:r>
          </w:p>
          <w:p w14:paraId="33A14BF1" w14:textId="57F6BEBE" w:rsidR="006F2880" w:rsidRPr="006F2880" w:rsidRDefault="006F2880" w:rsidP="00D32255">
            <w:pPr>
              <w:pStyle w:val="ListParagraph"/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Life cycle analysis of micro</w:t>
            </w:r>
            <w:r w:rsidR="007C2586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-</w:t>
            </w: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mobility systems.</w:t>
            </w:r>
          </w:p>
          <w:p w14:paraId="7140E8E4" w14:textId="77777777" w:rsidR="0047336B" w:rsidRDefault="006F2880" w:rsidP="00D32255">
            <w:pPr>
              <w:numPr>
                <w:ilvl w:val="0"/>
                <w:numId w:val="28"/>
              </w:numPr>
              <w:spacing w:after="0"/>
              <w:ind w:left="567" w:hanging="283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Emerging designs and technologies to address the challenges of sustainability in transport </w:t>
            </w:r>
            <w:r w:rsidR="007C2586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 xml:space="preserve">systems </w:t>
            </w:r>
            <w:r w:rsidRPr="006F2880"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  <w:t>and projects.</w:t>
            </w:r>
          </w:p>
          <w:p w14:paraId="74732BEA" w14:textId="3225DAA0" w:rsidR="007C2586" w:rsidRPr="0047336B" w:rsidRDefault="007C2586" w:rsidP="007C2586">
            <w:pPr>
              <w:spacing w:after="0" w:line="240" w:lineRule="auto"/>
              <w:ind w:left="284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14:paraId="2748E401" w14:textId="77777777" w:rsidR="00F67744" w:rsidRPr="00C37693" w:rsidRDefault="00F67744" w:rsidP="00F677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C37693">
        <w:rPr>
          <w:rFonts w:ascii="Calibri Light" w:eastAsia="Times New Roman" w:hAnsi="Calibri Light" w:cs="Arial"/>
          <w:b/>
          <w:color w:val="000000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AF1309" w:rsidRPr="007D5117" w14:paraId="0EC4F709" w14:textId="77777777" w:rsidTr="00AF1309">
        <w:tc>
          <w:tcPr>
            <w:tcW w:w="3306" w:type="dxa"/>
            <w:shd w:val="clear" w:color="auto" w:fill="D0CECE"/>
          </w:tcPr>
          <w:p w14:paraId="68EAD3B4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DELIVERY</w:t>
            </w: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br/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14:paraId="13C885E2" w14:textId="228ECE51" w:rsidR="00AF1309" w:rsidRPr="00C50E89" w:rsidRDefault="00C50E89" w:rsidP="00C50E89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</w:rPr>
            </w:pPr>
            <w:r w:rsidRPr="00C50E89">
              <w:rPr>
                <w:rFonts w:asciiTheme="minorHAnsi" w:eastAsiaTheme="minorHAnsi" w:hAnsiTheme="minorHAnsi" w:cs="Arial"/>
                <w:sz w:val="20"/>
                <w:szCs w:val="20"/>
              </w:rPr>
              <w:t>Face-to-face</w:t>
            </w:r>
          </w:p>
        </w:tc>
      </w:tr>
      <w:tr w:rsidR="00AF1309" w:rsidRPr="00D32255" w14:paraId="2566CFD9" w14:textId="77777777" w:rsidTr="00AF1309">
        <w:tc>
          <w:tcPr>
            <w:tcW w:w="3306" w:type="dxa"/>
            <w:shd w:val="clear" w:color="auto" w:fill="D0CECE"/>
          </w:tcPr>
          <w:p w14:paraId="3545D622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br/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334A33A" w14:textId="77D71E4C" w:rsidR="00C50E89" w:rsidRPr="006B158C" w:rsidRDefault="006B158C" w:rsidP="006B158C">
            <w:pPr>
              <w:spacing w:after="0" w:line="240" w:lineRule="auto"/>
              <w:rPr>
                <w:rFonts w:asciiTheme="minorHAnsi" w:eastAsiaTheme="minorHAnsi" w:hAnsiTheme="minorHAnsi" w:cs="Arial"/>
                <w:sz w:val="20"/>
                <w:szCs w:val="20"/>
                <w:lang w:val="en-US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 xml:space="preserve">PowerPoint presentations as part of the lectures, laboratory education in related software, systematic use of </w:t>
            </w:r>
            <w:proofErr w:type="spellStart"/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eclass</w:t>
            </w:r>
            <w:proofErr w:type="spellEnd"/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 xml:space="preserve"> platform for course announcements and material handling, student team forming, etc.</w:t>
            </w:r>
          </w:p>
        </w:tc>
      </w:tr>
      <w:tr w:rsidR="00AF1309" w:rsidRPr="00AF1309" w14:paraId="53F350D7" w14:textId="77777777" w:rsidTr="00AF1309">
        <w:tc>
          <w:tcPr>
            <w:tcW w:w="3306" w:type="dxa"/>
            <w:shd w:val="clear" w:color="auto" w:fill="D0CECE"/>
          </w:tcPr>
          <w:p w14:paraId="74408142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t>TEACHING METHODS</w:t>
            </w:r>
          </w:p>
          <w:p w14:paraId="69ABC17A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 xml:space="preserve">The manner and methods of teaching are </w:t>
            </w: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lastRenderedPageBreak/>
              <w:t>described in detail.</w:t>
            </w:r>
          </w:p>
          <w:p w14:paraId="7D2A52F0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14:paraId="5BBCB76C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</w:p>
          <w:p w14:paraId="71D59C59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2468"/>
            </w:tblGrid>
            <w:tr w:rsidR="00AF1309" w:rsidRPr="00AF1309" w14:paraId="4ACBE969" w14:textId="77777777" w:rsidTr="00AF1309">
              <w:tc>
                <w:tcPr>
                  <w:tcW w:w="2467" w:type="dxa"/>
                  <w:shd w:val="clear" w:color="auto" w:fill="D0CECE"/>
                  <w:vAlign w:val="center"/>
                </w:tcPr>
                <w:p w14:paraId="2ADBF4AD" w14:textId="77777777" w:rsidR="00AF1309" w:rsidRPr="00AF1309" w:rsidRDefault="00AF1309" w:rsidP="00AF1309">
                  <w:pPr>
                    <w:jc w:val="center"/>
                    <w:rPr>
                      <w:rFonts w:ascii="Calibri Light" w:hAnsi="Calibri Light" w:cs="Arial"/>
                      <w:b/>
                      <w:i/>
                      <w:lang w:val="en-GB"/>
                    </w:rPr>
                  </w:pPr>
                  <w:r w:rsidRPr="00AF1309">
                    <w:rPr>
                      <w:rFonts w:ascii="Calibri Light" w:hAnsi="Calibri Light" w:cs="Arial"/>
                      <w:b/>
                      <w:i/>
                      <w:lang w:val="en-GB"/>
                    </w:rPr>
                    <w:lastRenderedPageBreak/>
                    <w:t>Activity</w:t>
                  </w:r>
                </w:p>
              </w:tc>
              <w:tc>
                <w:tcPr>
                  <w:tcW w:w="2468" w:type="dxa"/>
                  <w:shd w:val="clear" w:color="auto" w:fill="D0CECE"/>
                  <w:vAlign w:val="center"/>
                </w:tcPr>
                <w:p w14:paraId="53464B84" w14:textId="77777777" w:rsidR="00AF1309" w:rsidRPr="00AF1309" w:rsidRDefault="00AF1309" w:rsidP="00AF1309">
                  <w:pPr>
                    <w:jc w:val="center"/>
                    <w:rPr>
                      <w:rFonts w:ascii="Calibri Light" w:hAnsi="Calibri Light" w:cs="Arial"/>
                      <w:b/>
                      <w:i/>
                      <w:lang w:val="en-GB"/>
                    </w:rPr>
                  </w:pPr>
                  <w:r w:rsidRPr="00AF1309">
                    <w:rPr>
                      <w:rFonts w:ascii="Calibri Light" w:hAnsi="Calibri Light" w:cs="Arial"/>
                      <w:b/>
                      <w:i/>
                      <w:lang w:val="en-GB"/>
                    </w:rPr>
                    <w:t>Semester workload</w:t>
                  </w:r>
                </w:p>
              </w:tc>
            </w:tr>
            <w:tr w:rsidR="00AF1309" w:rsidRPr="00AF1309" w14:paraId="5A603EE2" w14:textId="77777777" w:rsidTr="00877D9F">
              <w:tc>
                <w:tcPr>
                  <w:tcW w:w="2467" w:type="dxa"/>
                </w:tcPr>
                <w:p w14:paraId="0BC62E8D" w14:textId="00942B3B" w:rsidR="00AF1309" w:rsidRPr="00C50E89" w:rsidRDefault="00C50E8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  <w:r w:rsidRPr="00C50E89">
                    <w:rPr>
                      <w:rFonts w:asciiTheme="minorHAnsi" w:eastAsiaTheme="minorHAnsi" w:hAnsiTheme="minorHAnsi" w:cs="Arial"/>
                      <w:lang w:val="el-GR"/>
                    </w:rPr>
                    <w:lastRenderedPageBreak/>
                    <w:t>Lectures</w:t>
                  </w:r>
                </w:p>
              </w:tc>
              <w:tc>
                <w:tcPr>
                  <w:tcW w:w="2468" w:type="dxa"/>
                </w:tcPr>
                <w:p w14:paraId="4CF47CB0" w14:textId="116B6322" w:rsidR="00AF1309" w:rsidRPr="00C50E89" w:rsidRDefault="00C50E8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  <w:r w:rsidRPr="00C50E89">
                    <w:rPr>
                      <w:rFonts w:asciiTheme="minorHAnsi" w:eastAsiaTheme="minorHAnsi" w:hAnsiTheme="minorHAnsi" w:cs="Arial"/>
                      <w:lang w:val="el-GR"/>
                    </w:rPr>
                    <w:t>39</w:t>
                  </w:r>
                </w:p>
              </w:tc>
            </w:tr>
            <w:tr w:rsidR="00AF1309" w:rsidRPr="0047336B" w14:paraId="782A3DD4" w14:textId="77777777" w:rsidTr="0047336B">
              <w:tc>
                <w:tcPr>
                  <w:tcW w:w="2467" w:type="dxa"/>
                  <w:shd w:val="clear" w:color="auto" w:fill="auto"/>
                </w:tcPr>
                <w:p w14:paraId="395940DD" w14:textId="76CFEA5B" w:rsidR="00AF1309" w:rsidRPr="0047336B" w:rsidRDefault="0047336B" w:rsidP="00AF1309">
                  <w:pPr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Study and analysis of bibliography</w:t>
                  </w:r>
                </w:p>
              </w:tc>
              <w:tc>
                <w:tcPr>
                  <w:tcW w:w="2468" w:type="dxa"/>
                  <w:vAlign w:val="center"/>
                </w:tcPr>
                <w:p w14:paraId="301A332E" w14:textId="215E9F32" w:rsidR="00AF1309" w:rsidRPr="0047336B" w:rsidRDefault="0047336B" w:rsidP="0047336B">
                  <w:pPr>
                    <w:jc w:val="center"/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60</w:t>
                  </w:r>
                </w:p>
              </w:tc>
            </w:tr>
            <w:tr w:rsidR="00AF1309" w:rsidRPr="00AF1309" w14:paraId="50DC5A57" w14:textId="77777777" w:rsidTr="00877D9F">
              <w:tc>
                <w:tcPr>
                  <w:tcW w:w="2467" w:type="dxa"/>
                  <w:shd w:val="clear" w:color="auto" w:fill="auto"/>
                </w:tcPr>
                <w:p w14:paraId="0792F138" w14:textId="5C064AF6" w:rsidR="00AF1309" w:rsidRPr="000F4F34" w:rsidRDefault="000F4F34" w:rsidP="00AF1309">
                  <w:pPr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Project elaboration</w:t>
                  </w:r>
                </w:p>
              </w:tc>
              <w:tc>
                <w:tcPr>
                  <w:tcW w:w="2468" w:type="dxa"/>
                </w:tcPr>
                <w:p w14:paraId="2B3CA6EB" w14:textId="3FAE9B48" w:rsidR="00AF1309" w:rsidRPr="000F4F34" w:rsidRDefault="000F4F34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68,5</w:t>
                  </w:r>
                </w:p>
              </w:tc>
            </w:tr>
            <w:tr w:rsidR="00AF1309" w:rsidRPr="00AF1309" w14:paraId="3FFEEA7A" w14:textId="77777777" w:rsidTr="00877D9F">
              <w:tc>
                <w:tcPr>
                  <w:tcW w:w="2467" w:type="dxa"/>
                  <w:shd w:val="clear" w:color="auto" w:fill="auto"/>
                </w:tcPr>
                <w:p w14:paraId="308294B2" w14:textId="623D9046" w:rsidR="00AF1309" w:rsidRPr="000F4F34" w:rsidRDefault="000F4F34" w:rsidP="00AF1309">
                  <w:pPr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Essay writing</w:t>
                  </w:r>
                </w:p>
              </w:tc>
              <w:tc>
                <w:tcPr>
                  <w:tcW w:w="2468" w:type="dxa"/>
                </w:tcPr>
                <w:p w14:paraId="1C8F4962" w14:textId="2112E125" w:rsidR="00AF1309" w:rsidRPr="000F4F34" w:rsidRDefault="000F4F34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n-GB"/>
                    </w:rPr>
                  </w:pPr>
                  <w:r>
                    <w:rPr>
                      <w:rFonts w:asciiTheme="minorHAnsi" w:eastAsiaTheme="minorHAnsi" w:hAnsiTheme="minorHAnsi" w:cs="Arial"/>
                      <w:lang w:val="en-GB"/>
                    </w:rPr>
                    <w:t>20</w:t>
                  </w:r>
                </w:p>
              </w:tc>
            </w:tr>
            <w:tr w:rsidR="00AF1309" w:rsidRPr="00AF1309" w14:paraId="5D7D6A7A" w14:textId="77777777" w:rsidTr="00877D9F">
              <w:tc>
                <w:tcPr>
                  <w:tcW w:w="2467" w:type="dxa"/>
                  <w:shd w:val="clear" w:color="auto" w:fill="auto"/>
                </w:tcPr>
                <w:p w14:paraId="317614CD" w14:textId="77777777" w:rsidR="00AF1309" w:rsidRPr="00C50E89" w:rsidRDefault="00AF130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1A08C515" w14:textId="77777777" w:rsidR="00AF1309" w:rsidRPr="00C50E89" w:rsidRDefault="00AF130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</w:tr>
            <w:tr w:rsidR="00AF1309" w:rsidRPr="00AF1309" w14:paraId="6D43F724" w14:textId="77777777" w:rsidTr="00877D9F">
              <w:tc>
                <w:tcPr>
                  <w:tcW w:w="2467" w:type="dxa"/>
                  <w:shd w:val="clear" w:color="auto" w:fill="auto"/>
                </w:tcPr>
                <w:p w14:paraId="2F6ABED6" w14:textId="6CBABAA1" w:rsidR="00AF1309" w:rsidRPr="00C50E89" w:rsidRDefault="00AF130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2D27DC87" w14:textId="6C53FA6B" w:rsidR="00AF1309" w:rsidRPr="00C50E89" w:rsidRDefault="00AF130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</w:tr>
            <w:tr w:rsidR="00AF1309" w:rsidRPr="00AF1309" w14:paraId="3EB715A8" w14:textId="77777777" w:rsidTr="00877D9F">
              <w:tc>
                <w:tcPr>
                  <w:tcW w:w="2467" w:type="dxa"/>
                  <w:shd w:val="clear" w:color="auto" w:fill="auto"/>
                </w:tcPr>
                <w:p w14:paraId="636D0095" w14:textId="77777777" w:rsidR="00AF1309" w:rsidRPr="00C50E89" w:rsidRDefault="00AF130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  <w:tc>
                <w:tcPr>
                  <w:tcW w:w="2468" w:type="dxa"/>
                </w:tcPr>
                <w:p w14:paraId="67BC5288" w14:textId="77777777" w:rsidR="00AF1309" w:rsidRPr="00C50E89" w:rsidRDefault="00AF130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</w:p>
              </w:tc>
            </w:tr>
            <w:tr w:rsidR="00AF1309" w:rsidRPr="00AF1309" w14:paraId="250F2A3D" w14:textId="77777777" w:rsidTr="00877D9F">
              <w:tc>
                <w:tcPr>
                  <w:tcW w:w="2467" w:type="dxa"/>
                </w:tcPr>
                <w:p w14:paraId="10C6973D" w14:textId="244D527E" w:rsidR="00AF1309" w:rsidRPr="00C50E89" w:rsidRDefault="00C50E89" w:rsidP="00AF1309">
                  <w:pPr>
                    <w:rPr>
                      <w:rFonts w:asciiTheme="minorHAnsi" w:eastAsiaTheme="minorHAnsi" w:hAnsiTheme="minorHAnsi" w:cs="Arial"/>
                      <w:lang w:val="el-GR"/>
                    </w:rPr>
                  </w:pPr>
                  <w:r w:rsidRPr="00C50E89">
                    <w:rPr>
                      <w:rFonts w:asciiTheme="minorHAnsi" w:eastAsiaTheme="minorHAnsi" w:hAnsiTheme="minorHAnsi" w:cs="Arial"/>
                      <w:lang w:val="el-GR"/>
                    </w:rPr>
                    <w:t>Total</w:t>
                  </w:r>
                </w:p>
              </w:tc>
              <w:tc>
                <w:tcPr>
                  <w:tcW w:w="2468" w:type="dxa"/>
                  <w:vAlign w:val="center"/>
                </w:tcPr>
                <w:p w14:paraId="2DA4C465" w14:textId="3FC824F0" w:rsidR="00AF1309" w:rsidRPr="00C50E89" w:rsidRDefault="00C50E89" w:rsidP="00AF1309">
                  <w:pPr>
                    <w:jc w:val="center"/>
                    <w:rPr>
                      <w:rFonts w:asciiTheme="minorHAnsi" w:eastAsiaTheme="minorHAnsi" w:hAnsiTheme="minorHAnsi" w:cs="Arial"/>
                      <w:lang w:val="el-GR"/>
                    </w:rPr>
                  </w:pPr>
                  <w:r w:rsidRPr="00C50E89">
                    <w:rPr>
                      <w:rFonts w:asciiTheme="minorHAnsi" w:eastAsiaTheme="minorHAnsi" w:hAnsiTheme="minorHAnsi" w:cs="Arial"/>
                      <w:lang w:val="el-GR"/>
                    </w:rPr>
                    <w:t>187.5</w:t>
                  </w:r>
                </w:p>
              </w:tc>
            </w:tr>
          </w:tbl>
          <w:p w14:paraId="51D42DF1" w14:textId="77777777" w:rsidR="00AF1309" w:rsidRPr="00AF1309" w:rsidRDefault="00AF1309" w:rsidP="00AF1309">
            <w:pPr>
              <w:spacing w:after="0" w:line="240" w:lineRule="auto"/>
              <w:rPr>
                <w:rFonts w:ascii="Calibri Light" w:eastAsia="Times New Roman" w:hAnsi="Calibri Light" w:cs="Tahoma"/>
                <w:sz w:val="24"/>
                <w:szCs w:val="24"/>
                <w:lang w:val="en-GB"/>
              </w:rPr>
            </w:pPr>
          </w:p>
        </w:tc>
      </w:tr>
      <w:tr w:rsidR="00AF1309" w:rsidRPr="00D32255" w14:paraId="26D8F5F9" w14:textId="77777777" w:rsidTr="00877D9F">
        <w:tc>
          <w:tcPr>
            <w:tcW w:w="3306" w:type="dxa"/>
          </w:tcPr>
          <w:p w14:paraId="38711D3A" w14:textId="77777777" w:rsidR="00AF1309" w:rsidRPr="00AF1309" w:rsidRDefault="00AF1309" w:rsidP="00AF1309">
            <w:pPr>
              <w:spacing w:after="0" w:line="240" w:lineRule="auto"/>
              <w:jc w:val="right"/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b/>
                <w:sz w:val="20"/>
                <w:szCs w:val="20"/>
                <w:lang w:val="en-GB"/>
              </w:rPr>
              <w:lastRenderedPageBreak/>
              <w:t>STUDENT PERFORMANCE EVALUATION</w:t>
            </w:r>
          </w:p>
          <w:p w14:paraId="667AFABB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14:paraId="16F1CEC6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</w:p>
          <w:p w14:paraId="5596388D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14:paraId="7F046305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</w:p>
          <w:p w14:paraId="6657A2F0" w14:textId="77777777" w:rsidR="00AF1309" w:rsidRPr="00AF1309" w:rsidRDefault="00AF1309" w:rsidP="00AF1309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</w:pPr>
            <w:r w:rsidRPr="00AF1309">
              <w:rPr>
                <w:rFonts w:ascii="Calibri Light" w:eastAsia="Times New Roman" w:hAnsi="Calibri Light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14:paraId="671FB82E" w14:textId="77777777" w:rsidR="009578B7" w:rsidRDefault="009578B7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color w:val="002060"/>
                <w:sz w:val="20"/>
                <w:szCs w:val="20"/>
                <w:lang w:val="en-GB"/>
              </w:rPr>
            </w:pPr>
          </w:p>
          <w:p w14:paraId="41E2C40E" w14:textId="794D33C3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/>
              </w:rPr>
              <w:t>Language of evaluation</w:t>
            </w: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: Greek/English</w:t>
            </w:r>
          </w:p>
          <w:p w14:paraId="33881AF0" w14:textId="77777777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</w:p>
          <w:p w14:paraId="077E3877" w14:textId="77777777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M</w:t>
            </w:r>
            <w:r w:rsidRPr="006B158C">
              <w:rPr>
                <w:rFonts w:asciiTheme="minorHAnsi" w:hAnsiTheme="minorHAnsi" w:cs="Arial"/>
                <w:sz w:val="20"/>
                <w:szCs w:val="20"/>
                <w:lang w:val="en-GB"/>
              </w:rPr>
              <w:t>ethods of evaluation:</w:t>
            </w:r>
          </w:p>
          <w:p w14:paraId="1048E774" w14:textId="02F43982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Homework (40%).</w:t>
            </w:r>
          </w:p>
          <w:p w14:paraId="57E405C9" w14:textId="2D8FBBD1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>Team project (40%).</w:t>
            </w:r>
          </w:p>
          <w:p w14:paraId="61BED625" w14:textId="6E4ED40A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/>
                <w:sz w:val="20"/>
                <w:szCs w:val="20"/>
                <w:lang w:val="en-GB"/>
              </w:rPr>
              <w:t>Project presentation (20%).</w:t>
            </w:r>
          </w:p>
          <w:p w14:paraId="712A3962" w14:textId="77777777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</w:p>
          <w:p w14:paraId="7BE84CAC" w14:textId="77777777" w:rsidR="000F4F34" w:rsidRPr="006B158C" w:rsidRDefault="000F4F34" w:rsidP="000F4F34">
            <w:pPr>
              <w:autoSpaceDN w:val="0"/>
              <w:spacing w:after="0" w:line="240" w:lineRule="auto"/>
              <w:ind w:left="34"/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</w:pP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 xml:space="preserve">Evaluation </w:t>
            </w:r>
            <w:r w:rsidRPr="006B158C">
              <w:rPr>
                <w:rFonts w:asciiTheme="minorHAnsi" w:hAnsiTheme="minorHAnsi" w:cs="Arial"/>
                <w:sz w:val="20"/>
                <w:szCs w:val="20"/>
                <w:lang w:val="en-GB"/>
              </w:rPr>
              <w:t>criteria are accessible to students</w:t>
            </w:r>
            <w:r w:rsidRPr="006B158C">
              <w:rPr>
                <w:rFonts w:asciiTheme="minorHAnsi" w:hAnsiTheme="minorHAnsi" w:cs="Arial"/>
                <w:sz w:val="20"/>
                <w:szCs w:val="20"/>
                <w:lang w:val="en-GB" w:eastAsia="ja-JP"/>
              </w:rPr>
              <w:t xml:space="preserve"> in:</w:t>
            </w:r>
          </w:p>
          <w:p w14:paraId="19D26E3A" w14:textId="141DF1F7" w:rsidR="000F4F34" w:rsidRPr="000F4F34" w:rsidRDefault="00D32255" w:rsidP="000F4F34">
            <w:pPr>
              <w:autoSpaceDN w:val="0"/>
              <w:spacing w:after="0" w:line="240" w:lineRule="auto"/>
              <w:ind w:left="34"/>
              <w:rPr>
                <w:rStyle w:val="Hyperlink"/>
                <w:rFonts w:asciiTheme="minorHAnsi" w:hAnsiTheme="minorHAnsi"/>
                <w:sz w:val="20"/>
                <w:szCs w:val="20"/>
                <w:lang w:val="en-GB" w:eastAsia="ja-JP"/>
              </w:rPr>
            </w:pPr>
            <w:hyperlink r:id="rId8" w:history="1">
              <w:r w:rsidR="007C2586" w:rsidRPr="00A70A34">
                <w:rPr>
                  <w:rStyle w:val="Hyperlink"/>
                  <w:rFonts w:asciiTheme="minorHAnsi" w:hAnsiTheme="minorHAnsi"/>
                  <w:sz w:val="20"/>
                  <w:szCs w:val="20"/>
                  <w:lang w:val="en-GB"/>
                </w:rPr>
                <w:t>https://eclass.upatras.gr/courses/CIV1758/</w:t>
              </w:r>
            </w:hyperlink>
          </w:p>
          <w:p w14:paraId="4B12AF39" w14:textId="0AF0EEB3" w:rsidR="00C50E89" w:rsidRPr="00C50E89" w:rsidRDefault="00C50E89" w:rsidP="000F4F34">
            <w:pPr>
              <w:spacing w:after="0" w:line="240" w:lineRule="auto"/>
              <w:rPr>
                <w:rFonts w:ascii="Calibri Light" w:eastAsia="Times New Roman" w:hAnsi="Calibri Light" w:cs="Arial"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6F5E113E" w14:textId="77777777" w:rsidR="00AF1309" w:rsidRPr="00AF1309" w:rsidRDefault="00AF1309" w:rsidP="00F677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Calibri Light" w:eastAsia="Times New Roman" w:hAnsi="Calibri Light" w:cs="Arial"/>
          <w:b/>
          <w:color w:val="000000"/>
          <w:lang w:val="en-GB"/>
        </w:rPr>
      </w:pPr>
      <w:r w:rsidRPr="00AF1309">
        <w:rPr>
          <w:rFonts w:ascii="Calibri Light" w:eastAsia="Times New Roman" w:hAnsi="Calibri Light" w:cs="Arial"/>
          <w:b/>
          <w:color w:val="000000"/>
          <w:lang w:val="en-GB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AF1309" w:rsidRPr="00754A89" w14:paraId="5332F17D" w14:textId="77777777" w:rsidTr="00877D9F">
        <w:tc>
          <w:tcPr>
            <w:tcW w:w="8472" w:type="dxa"/>
          </w:tcPr>
          <w:p w14:paraId="6D50BA5C" w14:textId="77777777" w:rsidR="000F4F34" w:rsidRPr="00F01FFD" w:rsidRDefault="000F4F34" w:rsidP="000F4F34">
            <w:pPr>
              <w:spacing w:before="120" w:after="12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F01FFD">
              <w:rPr>
                <w:rFonts w:cs="Arial"/>
                <w:i/>
                <w:sz w:val="18"/>
                <w:szCs w:val="18"/>
              </w:rPr>
              <w:t>-</w:t>
            </w:r>
            <w:r w:rsidRPr="00F01FFD">
              <w:rPr>
                <w:rFonts w:cs="Arial" w:hint="eastAsia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libri Light,Italic" w:hAnsi="Calibri Light,Italic" w:cs="Calibri Light,Italic"/>
                <w:i/>
                <w:iCs/>
                <w:sz w:val="16"/>
                <w:szCs w:val="16"/>
                <w:lang w:val="en-GB" w:eastAsia="en-GB"/>
              </w:rPr>
              <w:t>Suggested bibliography</w:t>
            </w:r>
            <w:r w:rsidRPr="00F01FFD">
              <w:rPr>
                <w:rFonts w:cs="Arial"/>
                <w:i/>
                <w:sz w:val="18"/>
                <w:szCs w:val="18"/>
              </w:rPr>
              <w:t>:</w:t>
            </w:r>
          </w:p>
          <w:p w14:paraId="1DC0C509" w14:textId="5D3FE444" w:rsidR="000F4F34" w:rsidRPr="000F4F34" w:rsidRDefault="000F4F34" w:rsidP="007C258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right="176"/>
              <w:contextualSpacing w:val="0"/>
              <w:jc w:val="both"/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 xml:space="preserve">Relevant </w:t>
            </w:r>
            <w:r w:rsidR="007C2586"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  <w:t>publications from internet sources (Sustainable transport/transportation)</w:t>
            </w:r>
          </w:p>
          <w:p w14:paraId="498804C6" w14:textId="77777777" w:rsidR="000F4F34" w:rsidRPr="009462E6" w:rsidRDefault="000F4F34" w:rsidP="009462E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/>
                <w:color w:val="002060"/>
                <w:sz w:val="20"/>
                <w:szCs w:val="20"/>
                <w:lang w:val="en-GB"/>
              </w:rPr>
            </w:pPr>
          </w:p>
          <w:p w14:paraId="0753A504" w14:textId="77777777" w:rsidR="000F4F34" w:rsidRPr="00F01FFD" w:rsidRDefault="000F4F34" w:rsidP="000F4F34">
            <w:pPr>
              <w:spacing w:before="120" w:after="120" w:line="240" w:lineRule="auto"/>
              <w:jc w:val="both"/>
              <w:rPr>
                <w:rFonts w:cs="Arial"/>
                <w:i/>
                <w:sz w:val="18"/>
                <w:szCs w:val="18"/>
              </w:rPr>
            </w:pPr>
            <w:r w:rsidRPr="00F01FFD">
              <w:rPr>
                <w:rFonts w:cs="Arial"/>
                <w:i/>
                <w:sz w:val="18"/>
                <w:szCs w:val="18"/>
              </w:rPr>
              <w:t>-</w:t>
            </w:r>
            <w:r w:rsidRPr="00F01FFD">
              <w:rPr>
                <w:rFonts w:cs="Arial" w:hint="eastAsia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libri Light,Italic" w:hAnsi="Calibri Light,Italic" w:cs="Calibri Light,Italic"/>
                <w:i/>
                <w:iCs/>
                <w:sz w:val="16"/>
                <w:szCs w:val="16"/>
                <w:lang w:val="en-GB" w:eastAsia="en-GB"/>
              </w:rPr>
              <w:t>Related academic journals</w:t>
            </w:r>
            <w:r w:rsidRPr="00F01FFD">
              <w:rPr>
                <w:rFonts w:cs="Arial"/>
                <w:i/>
                <w:sz w:val="18"/>
                <w:szCs w:val="18"/>
              </w:rPr>
              <w:t>:</w:t>
            </w:r>
          </w:p>
          <w:p w14:paraId="0929BD55" w14:textId="77777777" w:rsidR="007C2586" w:rsidRDefault="007C2586" w:rsidP="007C2586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 xml:space="preserve">International Journal of Sustainable Transportation, Taylor &amp; Francis </w:t>
            </w:r>
          </w:p>
          <w:p w14:paraId="21512EA3" w14:textId="77777777" w:rsidR="007C2586" w:rsidRDefault="007C2586" w:rsidP="007C2586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SAE International Journal of Sustainable Transportation, Energy, Environment, &amp; Policy</w:t>
            </w:r>
          </w:p>
          <w:p w14:paraId="1E406EE2" w14:textId="224E2D1C" w:rsidR="000F4F34" w:rsidRPr="007C2586" w:rsidRDefault="007C2586" w:rsidP="007C2586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ASCE Journal of Transportation Engineering</w:t>
            </w:r>
          </w:p>
          <w:p w14:paraId="06C874BC" w14:textId="77777777" w:rsidR="00AF1309" w:rsidRPr="00C50E89" w:rsidRDefault="00AF1309" w:rsidP="009B77E9">
            <w:pPr>
              <w:spacing w:after="0" w:line="240" w:lineRule="auto"/>
              <w:jc w:val="both"/>
              <w:rPr>
                <w:rFonts w:ascii="Calibri Light" w:hAnsi="Calibri Light" w:cs="Arial"/>
                <w:color w:val="002060"/>
                <w:sz w:val="20"/>
                <w:szCs w:val="20"/>
                <w:lang w:val="en-US"/>
              </w:rPr>
            </w:pPr>
          </w:p>
        </w:tc>
      </w:tr>
    </w:tbl>
    <w:p w14:paraId="64673428" w14:textId="77777777" w:rsidR="00AF1309" w:rsidRPr="00AF1309" w:rsidRDefault="00AF1309" w:rsidP="00AF1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AF1309" w:rsidRPr="00AF1309" w:rsidSect="00DD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LTStd-Roman">
    <w:altName w:val="Arial Unicode MS"/>
    <w:panose1 w:val="00000000000000000000"/>
    <w:charset w:val="A1"/>
    <w:family w:val="auto"/>
    <w:notTrueType/>
    <w:pitch w:val="default"/>
    <w:sig w:usb0="00000081" w:usb1="09070000" w:usb2="00000010" w:usb3="00000000" w:csb0="000A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C9E"/>
    <w:multiLevelType w:val="hybridMultilevel"/>
    <w:tmpl w:val="FB044F40"/>
    <w:lvl w:ilvl="0" w:tplc="75026FD6">
      <w:numFmt w:val="bullet"/>
      <w:lvlText w:val="•"/>
      <w:lvlJc w:val="left"/>
      <w:pPr>
        <w:ind w:left="180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264FD6"/>
    <w:multiLevelType w:val="hybridMultilevel"/>
    <w:tmpl w:val="0DAE47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A331E"/>
    <w:multiLevelType w:val="hybridMultilevel"/>
    <w:tmpl w:val="75769A2E"/>
    <w:lvl w:ilvl="0" w:tplc="75026FD6">
      <w:numFmt w:val="bullet"/>
      <w:lvlText w:val="•"/>
      <w:lvlJc w:val="left"/>
      <w:pPr>
        <w:ind w:left="108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0347"/>
    <w:multiLevelType w:val="hybridMultilevel"/>
    <w:tmpl w:val="BD423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FE4486"/>
    <w:multiLevelType w:val="hybridMultilevel"/>
    <w:tmpl w:val="06E281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2048F6"/>
    <w:multiLevelType w:val="hybridMultilevel"/>
    <w:tmpl w:val="93B4F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92572"/>
    <w:multiLevelType w:val="hybridMultilevel"/>
    <w:tmpl w:val="A2D2E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416CD"/>
    <w:multiLevelType w:val="hybridMultilevel"/>
    <w:tmpl w:val="BED4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292C"/>
    <w:multiLevelType w:val="hybridMultilevel"/>
    <w:tmpl w:val="5B02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15E89"/>
    <w:multiLevelType w:val="hybridMultilevel"/>
    <w:tmpl w:val="DDF8F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3AC3"/>
    <w:multiLevelType w:val="hybridMultilevel"/>
    <w:tmpl w:val="26A290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A81BC9"/>
    <w:multiLevelType w:val="hybridMultilevel"/>
    <w:tmpl w:val="3FC010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30B29"/>
    <w:multiLevelType w:val="hybridMultilevel"/>
    <w:tmpl w:val="A93CD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D7390"/>
    <w:multiLevelType w:val="hybridMultilevel"/>
    <w:tmpl w:val="494A3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B08C9"/>
    <w:multiLevelType w:val="hybridMultilevel"/>
    <w:tmpl w:val="7BAAD04E"/>
    <w:lvl w:ilvl="0" w:tplc="75026FD6">
      <w:numFmt w:val="bullet"/>
      <w:lvlText w:val="•"/>
      <w:lvlJc w:val="left"/>
      <w:pPr>
        <w:ind w:left="108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720F6"/>
    <w:multiLevelType w:val="hybridMultilevel"/>
    <w:tmpl w:val="6B9223F4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66D0B"/>
    <w:multiLevelType w:val="hybridMultilevel"/>
    <w:tmpl w:val="2C422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33BAE"/>
    <w:multiLevelType w:val="hybridMultilevel"/>
    <w:tmpl w:val="91866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CE5C9E"/>
    <w:multiLevelType w:val="hybridMultilevel"/>
    <w:tmpl w:val="F1F28A7C"/>
    <w:lvl w:ilvl="0" w:tplc="75026FD6">
      <w:numFmt w:val="bullet"/>
      <w:lvlText w:val="•"/>
      <w:lvlJc w:val="left"/>
      <w:pPr>
        <w:ind w:left="108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6F6860"/>
    <w:multiLevelType w:val="hybridMultilevel"/>
    <w:tmpl w:val="BF64F7A6"/>
    <w:lvl w:ilvl="0" w:tplc="75026FD6">
      <w:numFmt w:val="bullet"/>
      <w:lvlText w:val="•"/>
      <w:lvlJc w:val="left"/>
      <w:pPr>
        <w:ind w:left="1080" w:hanging="360"/>
      </w:pPr>
      <w:rPr>
        <w:rFonts w:ascii="TimesLTStd-Roman" w:eastAsia="Calibri" w:hAnsi="TimesLTStd-Roman" w:cs="TimesLTStd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281301"/>
    <w:multiLevelType w:val="hybridMultilevel"/>
    <w:tmpl w:val="5F5479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DF5224"/>
    <w:multiLevelType w:val="hybridMultilevel"/>
    <w:tmpl w:val="01D49B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E846C2"/>
    <w:multiLevelType w:val="hybridMultilevel"/>
    <w:tmpl w:val="72189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26FE1"/>
    <w:multiLevelType w:val="hybridMultilevel"/>
    <w:tmpl w:val="AF2A5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9D4D90"/>
    <w:multiLevelType w:val="hybridMultilevel"/>
    <w:tmpl w:val="AB28A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C1BA2"/>
    <w:multiLevelType w:val="hybridMultilevel"/>
    <w:tmpl w:val="D1B831C2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6980DF36">
      <w:numFmt w:val="bullet"/>
      <w:lvlText w:val="•"/>
      <w:lvlJc w:val="left"/>
      <w:pPr>
        <w:ind w:left="1966" w:hanging="432"/>
      </w:pPr>
      <w:rPr>
        <w:rFonts w:ascii="Cf Garamond" w:eastAsia="Calibri" w:hAnsi="Cf Garamond" w:cs="Arial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6F0A1655"/>
    <w:multiLevelType w:val="hybridMultilevel"/>
    <w:tmpl w:val="CA164BC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C3C6A"/>
    <w:multiLevelType w:val="hybridMultilevel"/>
    <w:tmpl w:val="E4066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A26C4"/>
    <w:multiLevelType w:val="hybridMultilevel"/>
    <w:tmpl w:val="DA68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735D4"/>
    <w:multiLevelType w:val="hybridMultilevel"/>
    <w:tmpl w:val="7AC4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1"/>
  </w:num>
  <w:num w:numId="5">
    <w:abstractNumId w:val="17"/>
  </w:num>
  <w:num w:numId="6">
    <w:abstractNumId w:val="28"/>
  </w:num>
  <w:num w:numId="7">
    <w:abstractNumId w:val="24"/>
  </w:num>
  <w:num w:numId="8">
    <w:abstractNumId w:val="20"/>
  </w:num>
  <w:num w:numId="9">
    <w:abstractNumId w:val="2"/>
  </w:num>
  <w:num w:numId="10">
    <w:abstractNumId w:val="15"/>
  </w:num>
  <w:num w:numId="11">
    <w:abstractNumId w:val="12"/>
  </w:num>
  <w:num w:numId="12">
    <w:abstractNumId w:val="22"/>
  </w:num>
  <w:num w:numId="13">
    <w:abstractNumId w:val="19"/>
  </w:num>
  <w:num w:numId="14">
    <w:abstractNumId w:val="0"/>
  </w:num>
  <w:num w:numId="15">
    <w:abstractNumId w:val="14"/>
  </w:num>
  <w:num w:numId="16">
    <w:abstractNumId w:val="29"/>
  </w:num>
  <w:num w:numId="17">
    <w:abstractNumId w:val="9"/>
  </w:num>
  <w:num w:numId="18">
    <w:abstractNumId w:val="18"/>
  </w:num>
  <w:num w:numId="19">
    <w:abstractNumId w:val="30"/>
  </w:num>
  <w:num w:numId="20">
    <w:abstractNumId w:val="6"/>
  </w:num>
  <w:num w:numId="21">
    <w:abstractNumId w:val="7"/>
  </w:num>
  <w:num w:numId="22">
    <w:abstractNumId w:val="21"/>
  </w:num>
  <w:num w:numId="23">
    <w:abstractNumId w:val="5"/>
  </w:num>
  <w:num w:numId="24">
    <w:abstractNumId w:val="16"/>
  </w:num>
  <w:num w:numId="25">
    <w:abstractNumId w:val="27"/>
  </w:num>
  <w:num w:numId="26">
    <w:abstractNumId w:val="23"/>
  </w:num>
  <w:num w:numId="27">
    <w:abstractNumId w:val="8"/>
  </w:num>
  <w:num w:numId="28">
    <w:abstractNumId w:val="11"/>
  </w:num>
  <w:num w:numId="29">
    <w:abstractNumId w:val="13"/>
  </w:num>
  <w:num w:numId="30">
    <w:abstractNumId w:val="3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09"/>
    <w:rsid w:val="000F4F34"/>
    <w:rsid w:val="00296950"/>
    <w:rsid w:val="002D3524"/>
    <w:rsid w:val="003D5398"/>
    <w:rsid w:val="00423447"/>
    <w:rsid w:val="0047336B"/>
    <w:rsid w:val="00505EF1"/>
    <w:rsid w:val="005732E3"/>
    <w:rsid w:val="005A5448"/>
    <w:rsid w:val="00637BC7"/>
    <w:rsid w:val="006B158C"/>
    <w:rsid w:val="006F2880"/>
    <w:rsid w:val="00754A89"/>
    <w:rsid w:val="007C2586"/>
    <w:rsid w:val="007D5117"/>
    <w:rsid w:val="00911161"/>
    <w:rsid w:val="00945C88"/>
    <w:rsid w:val="009462E6"/>
    <w:rsid w:val="009578B7"/>
    <w:rsid w:val="00977D1E"/>
    <w:rsid w:val="009A314A"/>
    <w:rsid w:val="009B4041"/>
    <w:rsid w:val="009B77E9"/>
    <w:rsid w:val="00A42DC7"/>
    <w:rsid w:val="00A62911"/>
    <w:rsid w:val="00A632E1"/>
    <w:rsid w:val="00AF1309"/>
    <w:rsid w:val="00B92B02"/>
    <w:rsid w:val="00BC6F45"/>
    <w:rsid w:val="00C11E16"/>
    <w:rsid w:val="00C50E89"/>
    <w:rsid w:val="00C5504E"/>
    <w:rsid w:val="00D32255"/>
    <w:rsid w:val="00DC0429"/>
    <w:rsid w:val="00E90FBC"/>
    <w:rsid w:val="00E956A2"/>
    <w:rsid w:val="00F67744"/>
    <w:rsid w:val="00F679D3"/>
    <w:rsid w:val="00FB540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C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16"/>
    <w:rPr>
      <w:rFonts w:ascii="Cf Garamond" w:hAnsi="Cf Garamond" w:cs="Times New Roman"/>
    </w:rPr>
  </w:style>
  <w:style w:type="paragraph" w:styleId="Heading1">
    <w:name w:val="heading 1"/>
    <w:basedOn w:val="Normal"/>
    <w:link w:val="Heading1Char"/>
    <w:uiPriority w:val="9"/>
    <w:qFormat/>
    <w:rsid w:val="00AF1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13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uiPriority w:val="99"/>
    <w:rsid w:val="00AF1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F13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AF13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t">
    <w:name w:val="st"/>
    <w:basedOn w:val="DefaultParagraphFont"/>
    <w:rsid w:val="00AF1309"/>
  </w:style>
  <w:style w:type="character" w:styleId="Emphasis">
    <w:name w:val="Emphasis"/>
    <w:basedOn w:val="DefaultParagraphFont"/>
    <w:uiPriority w:val="20"/>
    <w:qFormat/>
    <w:rsid w:val="00AF130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D5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51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117"/>
    <w:pPr>
      <w:ind w:left="720"/>
      <w:contextualSpacing/>
    </w:pPr>
  </w:style>
  <w:style w:type="paragraph" w:customStyle="1" w:styleId="Default">
    <w:name w:val="Default"/>
    <w:rsid w:val="000F4F3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462E6"/>
    <w:pPr>
      <w:spacing w:after="0" w:line="240" w:lineRule="auto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16"/>
    <w:rPr>
      <w:rFonts w:ascii="Cf Garamond" w:hAnsi="Cf Garamond" w:cs="Times New Roman"/>
    </w:rPr>
  </w:style>
  <w:style w:type="paragraph" w:styleId="Heading1">
    <w:name w:val="heading 1"/>
    <w:basedOn w:val="Normal"/>
    <w:link w:val="Heading1Char"/>
    <w:uiPriority w:val="9"/>
    <w:qFormat/>
    <w:rsid w:val="00AF1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13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uiPriority w:val="99"/>
    <w:rsid w:val="00AF1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AF13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AF13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st">
    <w:name w:val="st"/>
    <w:basedOn w:val="DefaultParagraphFont"/>
    <w:rsid w:val="00AF1309"/>
  </w:style>
  <w:style w:type="character" w:styleId="Emphasis">
    <w:name w:val="Emphasis"/>
    <w:basedOn w:val="DefaultParagraphFont"/>
    <w:uiPriority w:val="20"/>
    <w:qFormat/>
    <w:rsid w:val="00AF130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D5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51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5117"/>
    <w:pPr>
      <w:ind w:left="720"/>
      <w:contextualSpacing/>
    </w:pPr>
  </w:style>
  <w:style w:type="paragraph" w:customStyle="1" w:styleId="Default">
    <w:name w:val="Default"/>
    <w:rsid w:val="000F4F3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462E6"/>
    <w:pPr>
      <w:spacing w:after="0" w:line="240" w:lineRule="auto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CIV175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atras.gr/en/node/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8DC8-E19E-48B6-B183-1FD37392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user</cp:lastModifiedBy>
  <cp:revision>5</cp:revision>
  <dcterms:created xsi:type="dcterms:W3CDTF">2021-07-30T05:11:00Z</dcterms:created>
  <dcterms:modified xsi:type="dcterms:W3CDTF">2021-07-30T06:00:00Z</dcterms:modified>
</cp:coreProperties>
</file>